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3B154" w14:textId="753F7834"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Resolución del Pleno del Instituto de Tra</w:t>
      </w:r>
      <w:bookmarkStart w:id="0" w:name="_GoBack"/>
      <w:bookmarkEnd w:id="0"/>
      <w:r w:rsidRPr="00AF6580">
        <w:rPr>
          <w:rFonts w:ascii="Palatino Linotype" w:hAnsi="Palatino Linotype" w:cs="Tahoma"/>
          <w:bCs/>
          <w:sz w:val="22"/>
          <w:szCs w:val="22"/>
        </w:rPr>
        <w:t xml:space="preserve">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17067D">
        <w:rPr>
          <w:rFonts w:ascii="Palatino Linotype" w:hAnsi="Palatino Linotype" w:cs="Tahoma"/>
          <w:bCs/>
          <w:sz w:val="22"/>
          <w:szCs w:val="22"/>
        </w:rPr>
        <w:t>trece</w:t>
      </w:r>
      <w:r w:rsidR="0055108C">
        <w:rPr>
          <w:rFonts w:ascii="Palatino Linotype" w:hAnsi="Palatino Linotype" w:cs="Tahoma"/>
          <w:bCs/>
          <w:sz w:val="22"/>
          <w:szCs w:val="22"/>
        </w:rPr>
        <w:t xml:space="preserve"> </w:t>
      </w:r>
      <w:r w:rsidRPr="00AF6580">
        <w:rPr>
          <w:rFonts w:ascii="Palatino Linotype" w:hAnsi="Palatino Linotype" w:cs="Tahoma"/>
          <w:bCs/>
          <w:sz w:val="22"/>
          <w:szCs w:val="22"/>
        </w:rPr>
        <w:t>de</w:t>
      </w:r>
      <w:r w:rsidR="00AF6580" w:rsidRPr="00AF6580">
        <w:rPr>
          <w:rFonts w:ascii="Palatino Linotype" w:hAnsi="Palatino Linotype" w:cs="Tahoma"/>
          <w:bCs/>
          <w:sz w:val="22"/>
          <w:szCs w:val="22"/>
        </w:rPr>
        <w:t xml:space="preserve"> </w:t>
      </w:r>
      <w:r w:rsidR="0055108C">
        <w:rPr>
          <w:rFonts w:ascii="Palatino Linotype" w:hAnsi="Palatino Linotype" w:cs="Tahoma"/>
          <w:bCs/>
          <w:sz w:val="22"/>
          <w:szCs w:val="22"/>
        </w:rPr>
        <w:t xml:space="preserve">febrero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055147C5"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B0FDC">
        <w:rPr>
          <w:rFonts w:ascii="Palatino Linotype" w:hAnsi="Palatino Linotype" w:cs="Tahoma"/>
          <w:b/>
          <w:bCs/>
          <w:color w:val="0D0D0D" w:themeColor="text1" w:themeTint="F2"/>
          <w:sz w:val="22"/>
          <w:szCs w:val="22"/>
        </w:rPr>
        <w:t>04</w:t>
      </w:r>
      <w:r w:rsidR="0055108C">
        <w:rPr>
          <w:rFonts w:ascii="Palatino Linotype" w:hAnsi="Palatino Linotype" w:cs="Tahoma"/>
          <w:b/>
          <w:bCs/>
          <w:color w:val="0D0D0D" w:themeColor="text1" w:themeTint="F2"/>
          <w:sz w:val="22"/>
          <w:szCs w:val="22"/>
        </w:rPr>
        <w:t>536</w:t>
      </w:r>
      <w:r w:rsidR="005608D0" w:rsidRPr="00BF219A">
        <w:rPr>
          <w:rFonts w:ascii="Palatino Linotype" w:hAnsi="Palatino Linotype" w:cs="Tahoma"/>
          <w:b/>
          <w:bCs/>
          <w:color w:val="0D0D0D" w:themeColor="text1" w:themeTint="F2"/>
          <w:sz w:val="22"/>
          <w:szCs w:val="22"/>
        </w:rPr>
        <w:t>/INFOEM/IP/RR/2018</w:t>
      </w:r>
      <w:r w:rsidR="0055108C">
        <w:rPr>
          <w:rFonts w:ascii="Palatino Linotype" w:hAnsi="Palatino Linotype" w:cs="Tahoma"/>
          <w:bCs/>
          <w:color w:val="0D0D0D" w:themeColor="text1" w:themeTint="F2"/>
          <w:sz w:val="22"/>
          <w:szCs w:val="22"/>
        </w:rPr>
        <w:t xml:space="preserve">, interpuesto por </w:t>
      </w:r>
      <w:r w:rsidR="00AA73E1" w:rsidRPr="008C18EA">
        <w:rPr>
          <w:rFonts w:ascii="Palatino Linotype" w:eastAsia="Calibri" w:hAnsi="Palatino Linotype" w:cs="Tahoma"/>
          <w:b/>
          <w:bCs/>
          <w:sz w:val="22"/>
          <w:szCs w:val="22"/>
          <w:highlight w:val="black"/>
          <w:lang w:eastAsia="en-US"/>
        </w:rPr>
        <w:t>XXXXXXXXXXXXXXXXXXXXXXXXXX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8B6EC2">
        <w:rPr>
          <w:rFonts w:ascii="Palatino Linotype" w:eastAsia="Calibri" w:hAnsi="Palatino Linotype" w:cs="Tahoma"/>
          <w:sz w:val="22"/>
          <w:szCs w:val="22"/>
          <w:lang w:val="es-MX" w:eastAsia="en-US"/>
        </w:rPr>
        <w:t>R</w:t>
      </w:r>
      <w:r w:rsidR="008B6EC2"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8B6EC2">
        <w:rPr>
          <w:rFonts w:ascii="Palatino Linotype" w:eastAsia="Calibri" w:hAnsi="Palatino Linotype" w:cs="Tahoma"/>
          <w:sz w:val="22"/>
          <w:szCs w:val="22"/>
          <w:lang w:val="es-MX" w:eastAsia="en-US"/>
        </w:rPr>
        <w:t>P</w:t>
      </w:r>
      <w:r w:rsidR="008B6EC2"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8D71BC">
        <w:rPr>
          <w:rFonts w:ascii="Palatino Linotype" w:hAnsi="Palatino Linotype" w:cs="Tahoma"/>
          <w:b/>
          <w:bCs/>
          <w:color w:val="0D0D0D" w:themeColor="text1" w:themeTint="F2"/>
          <w:sz w:val="22"/>
          <w:szCs w:val="22"/>
        </w:rPr>
        <w:t xml:space="preserve">Sujeto Obligado </w:t>
      </w:r>
      <w:r w:rsidR="0055108C" w:rsidRPr="008D71BC">
        <w:rPr>
          <w:rFonts w:ascii="Palatino Linotype" w:hAnsi="Palatino Linotype" w:cs="Tahoma"/>
          <w:b/>
          <w:bCs/>
          <w:color w:val="0D0D0D" w:themeColor="text1" w:themeTint="F2"/>
          <w:sz w:val="22"/>
          <w:szCs w:val="22"/>
        </w:rPr>
        <w:t>Instituto</w:t>
      </w:r>
      <w:r w:rsidR="0055108C" w:rsidRPr="0055108C">
        <w:rPr>
          <w:rFonts w:ascii="Palatino Linotype" w:hAnsi="Palatino Linotype" w:cs="Tahoma"/>
          <w:b/>
          <w:bCs/>
          <w:color w:val="0D0D0D" w:themeColor="text1" w:themeTint="F2"/>
          <w:sz w:val="22"/>
          <w:szCs w:val="22"/>
        </w:rPr>
        <w:t xml:space="preserve"> de Transparencia, Acceso a la Información Pública y Protección de Datos Personales del Estado de México y Municipios</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7EEC6F7A" w14:textId="186B7C4E"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55108C">
        <w:rPr>
          <w:rFonts w:ascii="Palatino Linotype" w:hAnsi="Palatino Linotype" w:cs="Tahoma"/>
          <w:szCs w:val="22"/>
        </w:rPr>
        <w:t>veintitrés</w:t>
      </w:r>
      <w:r w:rsidR="007B0FDC">
        <w:rPr>
          <w:rFonts w:ascii="Palatino Linotype" w:hAnsi="Palatino Linotype" w:cs="Tahoma"/>
          <w:szCs w:val="22"/>
        </w:rPr>
        <w:t xml:space="preserve"> de </w:t>
      </w:r>
      <w:r w:rsidR="0055108C">
        <w:rPr>
          <w:rFonts w:ascii="Palatino Linotype" w:hAnsi="Palatino Linotype" w:cs="Tahoma"/>
          <w:szCs w:val="22"/>
        </w:rPr>
        <w:t xml:space="preserve">noviembre </w:t>
      </w:r>
      <w:r w:rsidR="004B42D0" w:rsidRPr="00AF6580">
        <w:rPr>
          <w:rFonts w:ascii="Palatino Linotype" w:hAnsi="Palatino Linotype" w:cs="Tahoma"/>
          <w:szCs w:val="22"/>
        </w:rPr>
        <w:t xml:space="preserve">de dos mil dieciocho,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55108C">
        <w:rPr>
          <w:rFonts w:ascii="Palatino Linotype" w:hAnsi="Palatino Linotype" w:cs="Tahoma"/>
          <w:szCs w:val="22"/>
        </w:rPr>
        <w:t xml:space="preserve">número </w:t>
      </w:r>
      <w:r w:rsidR="0055108C" w:rsidRPr="0055108C">
        <w:rPr>
          <w:rFonts w:ascii="Palatino Linotype" w:hAnsi="Palatino Linotype" w:cs="Tahoma"/>
          <w:b/>
          <w:szCs w:val="22"/>
        </w:rPr>
        <w:t>01006/INFOEM/IP/2018</w:t>
      </w:r>
      <w:r w:rsidR="0055108C" w:rsidRPr="0055108C">
        <w:rPr>
          <w:rFonts w:ascii="Palatino Linotype" w:hAnsi="Palatino Linotype" w:cs="Tahoma"/>
          <w:szCs w:val="22"/>
        </w:rPr>
        <w:t xml:space="preserve"> </w:t>
      </w:r>
      <w:r w:rsidR="0055108C">
        <w:rPr>
          <w:rFonts w:ascii="Palatino Linotype" w:hAnsi="Palatino Linotype" w:cs="Tahoma"/>
          <w:szCs w:val="22"/>
        </w:rPr>
        <w:t xml:space="preserve">a través del Sistema de Acceso a la Información Mexiquense (SAIMEX) ante el </w:t>
      </w:r>
      <w:r w:rsidR="0055108C" w:rsidRPr="0055108C">
        <w:rPr>
          <w:rFonts w:ascii="Palatino Linotype" w:eastAsia="Calibri" w:hAnsi="Palatino Linotype" w:cs="Tahoma"/>
          <w:szCs w:val="22"/>
          <w:lang w:eastAsia="en-US"/>
        </w:rPr>
        <w:t>Instituto de Transparencia, Acceso a la Información Pública y Protección de Datos Personales del Estado de México y Municipios</w:t>
      </w:r>
      <w:r w:rsidR="007B0FDC">
        <w:rPr>
          <w:rFonts w:ascii="Palatino Linotype" w:hAnsi="Palatino Linotype" w:cs="Tahoma"/>
          <w:szCs w:val="22"/>
        </w:rPr>
        <w:t>,</w:t>
      </w:r>
      <w:r w:rsidR="00806144" w:rsidRPr="00AF6580">
        <w:rPr>
          <w:rFonts w:ascii="Palatino Linotype" w:hAnsi="Palatino Linotype" w:cs="Tahoma"/>
          <w:szCs w:val="22"/>
        </w:rPr>
        <w:t xml:space="preserve"> mediante la cual requirió:</w:t>
      </w:r>
    </w:p>
    <w:p w14:paraId="3ABDC128"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7479DD">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323246E8" w:rsidR="00806144" w:rsidRPr="00AF6580" w:rsidRDefault="007B0FDC" w:rsidP="007B0FDC">
      <w:pPr>
        <w:pStyle w:val="Prrafodelista"/>
        <w:tabs>
          <w:tab w:val="left" w:pos="4667"/>
        </w:tabs>
        <w:spacing w:line="360" w:lineRule="auto"/>
        <w:ind w:left="851" w:right="567"/>
        <w:jc w:val="both"/>
        <w:rPr>
          <w:rFonts w:ascii="Palatino Linotype" w:hAnsi="Palatino Linotype" w:cs="Tahoma"/>
          <w:bCs/>
          <w:sz w:val="20"/>
          <w:szCs w:val="20"/>
        </w:rPr>
      </w:pPr>
      <w:r>
        <w:rPr>
          <w:rFonts w:ascii="Palatino Linotype" w:hAnsi="Palatino Linotype" w:cs="Tahoma"/>
          <w:bCs/>
          <w:sz w:val="20"/>
          <w:szCs w:val="20"/>
        </w:rPr>
        <w:t>“</w:t>
      </w:r>
      <w:r w:rsidR="0055108C">
        <w:rPr>
          <w:rFonts w:ascii="Palatino Linotype" w:hAnsi="Palatino Linotype" w:cs="Tahoma"/>
          <w:bCs/>
          <w:sz w:val="20"/>
          <w:szCs w:val="20"/>
        </w:rPr>
        <w:t>D</w:t>
      </w:r>
      <w:r w:rsidR="0055108C" w:rsidRPr="0055108C">
        <w:rPr>
          <w:rFonts w:ascii="Palatino Linotype" w:hAnsi="Palatino Linotype" w:cs="Tahoma"/>
          <w:bCs/>
          <w:sz w:val="20"/>
          <w:szCs w:val="20"/>
        </w:rPr>
        <w:t xml:space="preserve">erivado a que realice múltiples solicitudes a distintos sujetos obligados, requiero saber si es </w:t>
      </w:r>
      <w:proofErr w:type="spellStart"/>
      <w:r w:rsidR="0055108C" w:rsidRPr="0055108C">
        <w:rPr>
          <w:rFonts w:ascii="Palatino Linotype" w:hAnsi="Palatino Linotype" w:cs="Tahoma"/>
          <w:bCs/>
          <w:sz w:val="20"/>
          <w:szCs w:val="20"/>
        </w:rPr>
        <w:t>valido</w:t>
      </w:r>
      <w:proofErr w:type="spellEnd"/>
      <w:r w:rsidR="0055108C" w:rsidRPr="0055108C">
        <w:rPr>
          <w:rFonts w:ascii="Palatino Linotype" w:hAnsi="Palatino Linotype" w:cs="Tahoma"/>
          <w:bCs/>
          <w:sz w:val="20"/>
          <w:szCs w:val="20"/>
        </w:rPr>
        <w:t xml:space="preserve"> que solo se emita en el sustento de la respuesta un acuerdo firmado por el titular de transparencia y no así un acta firmada por el comité de transparencia</w:t>
      </w:r>
      <w:r w:rsidR="000F674A" w:rsidRPr="0055108C">
        <w:rPr>
          <w:rFonts w:ascii="Palatino Linotype" w:hAnsi="Palatino Linotype" w:cs="Tahoma"/>
          <w:bCs/>
          <w:sz w:val="20"/>
          <w:szCs w:val="20"/>
        </w:rPr>
        <w:t>!”</w:t>
      </w:r>
      <w:r w:rsidR="008B6EC2">
        <w:rPr>
          <w:rFonts w:ascii="Palatino Linotype" w:hAnsi="Palatino Linotype" w:cs="Tahoma"/>
          <w:bCs/>
          <w:sz w:val="20"/>
          <w:szCs w:val="20"/>
        </w:rPr>
        <w:t xml:space="preserve"> (</w:t>
      </w:r>
      <w:r w:rsidR="008B6EC2" w:rsidRPr="00513163">
        <w:rPr>
          <w:rFonts w:ascii="Palatino Linotype" w:hAnsi="Palatino Linotype" w:cs="Tahoma"/>
          <w:bCs/>
          <w:i/>
          <w:sz w:val="20"/>
          <w:szCs w:val="20"/>
        </w:rPr>
        <w:t>Sic.</w:t>
      </w:r>
      <w:r w:rsidR="008B6EC2">
        <w:rPr>
          <w:rFonts w:ascii="Palatino Linotype" w:hAnsi="Palatino Linotype" w:cs="Tahoma"/>
          <w:bCs/>
          <w:sz w:val="20"/>
          <w:szCs w:val="20"/>
        </w:rPr>
        <w:t>)</w:t>
      </w:r>
    </w:p>
    <w:p w14:paraId="1CA7FD8A" w14:textId="77777777" w:rsidR="004D1C65" w:rsidRPr="00AF6580" w:rsidRDefault="004D1C65" w:rsidP="007479DD">
      <w:pPr>
        <w:tabs>
          <w:tab w:val="left" w:pos="4667"/>
        </w:tabs>
        <w:spacing w:line="360" w:lineRule="auto"/>
        <w:ind w:left="567" w:right="567"/>
        <w:jc w:val="both"/>
        <w:rPr>
          <w:rFonts w:ascii="Palatino Linotype" w:hAnsi="Palatino Linotype" w:cs="Tahoma"/>
          <w:bCs/>
        </w:rPr>
      </w:pPr>
    </w:p>
    <w:p w14:paraId="7538FCBE" w14:textId="77777777" w:rsidR="00806144" w:rsidRPr="00AF6580" w:rsidRDefault="0080614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2644F7BE" w14:textId="63D993FF" w:rsidR="00806144" w:rsidRPr="00AF6580" w:rsidRDefault="007B0FDC" w:rsidP="007479DD">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A través del SIAMEX</w:t>
      </w:r>
    </w:p>
    <w:p w14:paraId="4986360B" w14:textId="77777777" w:rsidR="007516C8" w:rsidRDefault="007516C8" w:rsidP="007479DD">
      <w:pPr>
        <w:autoSpaceDE w:val="0"/>
        <w:autoSpaceDN w:val="0"/>
        <w:adjustRightInd w:val="0"/>
        <w:spacing w:line="360" w:lineRule="auto"/>
        <w:jc w:val="both"/>
        <w:rPr>
          <w:rFonts w:ascii="Palatino Linotype" w:hAnsi="Palatino Linotype" w:cs="Tahoma"/>
          <w:sz w:val="22"/>
          <w:szCs w:val="22"/>
        </w:rPr>
      </w:pPr>
    </w:p>
    <w:p w14:paraId="29C0D204" w14:textId="60760C9C"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6545AB28" w14:textId="77777777"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14:paraId="37B4B7F9" w14:textId="58DB3E97" w:rsidR="007B0FDC" w:rsidRDefault="00046F1D"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55108C">
        <w:rPr>
          <w:rFonts w:ascii="Palatino Linotype" w:hAnsi="Palatino Linotype" w:cs="Tahoma"/>
          <w:sz w:val="22"/>
          <w:szCs w:val="22"/>
        </w:rPr>
        <w:t xml:space="preserve">veintiséis de noviembre </w:t>
      </w:r>
      <w:r w:rsidR="00A631FA" w:rsidRPr="00AF6580">
        <w:rPr>
          <w:rFonts w:ascii="Palatino Linotype" w:hAnsi="Palatino Linotype" w:cs="Tahoma"/>
          <w:sz w:val="22"/>
          <w:szCs w:val="22"/>
        </w:rPr>
        <w:t>de dos mi</w:t>
      </w:r>
      <w:r w:rsidRPr="00AF6580">
        <w:rPr>
          <w:rFonts w:ascii="Palatino Linotype" w:hAnsi="Palatino Linotype" w:cs="Tahoma"/>
          <w:sz w:val="22"/>
          <w:szCs w:val="22"/>
        </w:rPr>
        <w:t xml:space="preserve">l dieciocho, </w:t>
      </w:r>
      <w:r w:rsidR="001723FF" w:rsidRPr="00AF6580">
        <w:rPr>
          <w:rFonts w:ascii="Palatino Linotype" w:hAnsi="Palatino Linotype" w:cs="Tahoma"/>
          <w:sz w:val="22"/>
          <w:szCs w:val="22"/>
        </w:rPr>
        <w:t xml:space="preserve">mediante 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A94475" w:rsidRPr="00AF6580">
        <w:rPr>
          <w:rFonts w:ascii="Palatino Linotype" w:hAnsi="Palatino Linotype" w:cs="Tahoma"/>
          <w:sz w:val="22"/>
          <w:szCs w:val="22"/>
        </w:rPr>
        <w:t xml:space="preserve">a la que </w:t>
      </w:r>
      <w:r w:rsidR="0055108C">
        <w:rPr>
          <w:rFonts w:ascii="Palatino Linotype" w:hAnsi="Palatino Linotype" w:cs="Tahoma"/>
          <w:sz w:val="22"/>
          <w:szCs w:val="22"/>
        </w:rPr>
        <w:t>adjuntó el archivo denominado</w:t>
      </w:r>
      <w:r w:rsidR="0055108C" w:rsidRPr="0055108C">
        <w:t xml:space="preserve"> </w:t>
      </w:r>
      <w:r w:rsidR="0055108C" w:rsidRPr="0055108C">
        <w:rPr>
          <w:rFonts w:ascii="Palatino Linotype" w:hAnsi="Palatino Linotype" w:cs="Tahoma"/>
          <w:b/>
          <w:sz w:val="22"/>
          <w:szCs w:val="22"/>
        </w:rPr>
        <w:t>RESPUESTA UT 1006-2018.pdf</w:t>
      </w:r>
      <w:r w:rsidR="0055108C">
        <w:rPr>
          <w:rFonts w:ascii="Palatino Linotype" w:hAnsi="Palatino Linotype" w:cs="Tahoma"/>
          <w:sz w:val="22"/>
          <w:szCs w:val="22"/>
        </w:rPr>
        <w:t xml:space="preserve"> mismo que en su parte medular señala lo siguiente:</w:t>
      </w:r>
    </w:p>
    <w:p w14:paraId="6DFD1BBE" w14:textId="77777777" w:rsidR="0055108C" w:rsidRDefault="0055108C" w:rsidP="007479DD">
      <w:pPr>
        <w:autoSpaceDE w:val="0"/>
        <w:autoSpaceDN w:val="0"/>
        <w:adjustRightInd w:val="0"/>
        <w:spacing w:line="360" w:lineRule="auto"/>
        <w:jc w:val="both"/>
        <w:rPr>
          <w:rFonts w:ascii="Palatino Linotype" w:hAnsi="Palatino Linotype" w:cs="Tahoma"/>
          <w:sz w:val="22"/>
          <w:szCs w:val="22"/>
        </w:rPr>
      </w:pPr>
    </w:p>
    <w:p w14:paraId="0FAB2749" w14:textId="77777777"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75461C17" w14:textId="3B902488" w:rsidR="007B0FDC" w:rsidRDefault="00854523" w:rsidP="007B0FDC">
      <w:pPr>
        <w:autoSpaceDE w:val="0"/>
        <w:autoSpaceDN w:val="0"/>
        <w:adjustRightInd w:val="0"/>
        <w:spacing w:line="360" w:lineRule="auto"/>
        <w:ind w:left="567" w:right="539"/>
        <w:jc w:val="both"/>
        <w:rPr>
          <w:rFonts w:ascii="Palatino Linotype" w:hAnsi="Palatino Linotype" w:cs="Tahoma"/>
        </w:rPr>
      </w:pPr>
      <w:r w:rsidRPr="00854523">
        <w:rPr>
          <w:rFonts w:ascii="Palatino Linotype" w:hAnsi="Palatino Linotype" w:cs="Tahoma"/>
        </w:rPr>
        <w:t>Una vez analizados los requerimientos vertidos en la solicitud de referencia, debi</w:t>
      </w:r>
      <w:r>
        <w:rPr>
          <w:rFonts w:ascii="Palatino Linotype" w:hAnsi="Palatino Linotype" w:cs="Tahoma"/>
        </w:rPr>
        <w:t>do a que se trata de cuestionam</w:t>
      </w:r>
      <w:r w:rsidRPr="00854523">
        <w:rPr>
          <w:rFonts w:ascii="Palatino Linotype" w:hAnsi="Palatino Linotype" w:cs="Tahoma"/>
        </w:rPr>
        <w:t>ientos y manifestaciones subjetivas realizados por Usted, los cuales no se colman con la entrega de documentos,</w:t>
      </w:r>
      <w:r>
        <w:rPr>
          <w:rFonts w:ascii="Palatino Linotype" w:hAnsi="Palatino Linotype" w:cs="Tahoma"/>
        </w:rPr>
        <w:t xml:space="preserve"> </w:t>
      </w:r>
      <w:r w:rsidRPr="00854523">
        <w:rPr>
          <w:rFonts w:ascii="Palatino Linotype" w:hAnsi="Palatino Linotype" w:cs="Tahoma"/>
        </w:rPr>
        <w:t>ya que se puede considerar que lo planteado se traduce en un derecho de petición; ello, por tratarse de una pretensión consistente en obligar a la autoridad responsable a que actúe encaminada a contestar lo solicitado, lo que se constriñe a generar un documento específico, inexistente al momento de pretender ejercer el derecho de acceso a la información; haciendo hincapié que éste último derecho estriba en una prerrogativa de toda persona encaminada primordialmente a permitir el acceso a datos, registros y todo tipo de información pública que conste en documentos, ya sea generada o poseída por los</w:t>
      </w:r>
      <w:r>
        <w:rPr>
          <w:rFonts w:ascii="Palatino Linotype" w:hAnsi="Palatino Linotype" w:cs="Tahoma"/>
        </w:rPr>
        <w:t xml:space="preserve"> </w:t>
      </w:r>
      <w:r w:rsidRPr="00854523">
        <w:rPr>
          <w:rFonts w:ascii="Palatino Linotype" w:hAnsi="Palatino Linotype" w:cs="Tahoma"/>
        </w:rPr>
        <w:t>sujetos obligados.</w:t>
      </w:r>
    </w:p>
    <w:p w14:paraId="23D652FE" w14:textId="77777777" w:rsidR="00854523" w:rsidRDefault="00854523" w:rsidP="007B0FDC">
      <w:pPr>
        <w:autoSpaceDE w:val="0"/>
        <w:autoSpaceDN w:val="0"/>
        <w:adjustRightInd w:val="0"/>
        <w:spacing w:line="360" w:lineRule="auto"/>
        <w:ind w:left="567" w:right="539"/>
        <w:jc w:val="both"/>
        <w:rPr>
          <w:rFonts w:ascii="Palatino Linotype" w:hAnsi="Palatino Linotype" w:cs="Tahoma"/>
        </w:rPr>
      </w:pPr>
    </w:p>
    <w:p w14:paraId="703AAF17" w14:textId="325AFB1C" w:rsidR="00854523" w:rsidRDefault="00854523" w:rsidP="007B0FDC">
      <w:pPr>
        <w:autoSpaceDE w:val="0"/>
        <w:autoSpaceDN w:val="0"/>
        <w:adjustRightInd w:val="0"/>
        <w:spacing w:line="360" w:lineRule="auto"/>
        <w:ind w:left="567" w:right="539"/>
        <w:jc w:val="both"/>
        <w:rPr>
          <w:rFonts w:ascii="Palatino Linotype" w:hAnsi="Palatino Linotype" w:cs="Tahoma"/>
        </w:rPr>
      </w:pPr>
      <w:r w:rsidRPr="00854523">
        <w:rPr>
          <w:rFonts w:ascii="Palatino Linotype" w:hAnsi="Palatino Linotype" w:cs="Tahoma"/>
        </w:rPr>
        <w:t>Es menester señalar,</w:t>
      </w:r>
      <w:r>
        <w:rPr>
          <w:rFonts w:ascii="Palatino Linotype" w:hAnsi="Palatino Linotype" w:cs="Tahoma"/>
        </w:rPr>
        <w:t xml:space="preserve"> </w:t>
      </w:r>
      <w:r w:rsidRPr="00854523">
        <w:rPr>
          <w:rFonts w:ascii="Palatino Linotype" w:hAnsi="Palatino Linotype" w:cs="Tahoma"/>
        </w:rPr>
        <w:t>que la entrega de un motivo,</w:t>
      </w:r>
      <w:r>
        <w:rPr>
          <w:rFonts w:ascii="Palatino Linotype" w:hAnsi="Palatino Linotype" w:cs="Tahoma"/>
        </w:rPr>
        <w:t xml:space="preserve"> </w:t>
      </w:r>
      <w:r w:rsidRPr="00854523">
        <w:rPr>
          <w:rFonts w:ascii="Palatino Linotype" w:hAnsi="Palatino Linotype" w:cs="Tahoma"/>
        </w:rPr>
        <w:t xml:space="preserve">valoración o razonamiento que realiza una persona acerca de algo o alguien y que es el resultado de someterla a sus ideas, valores personales, experiencias, creencias y entornos particulares, se aleja de lo establecido en la Ley de Transparencia y Acceso a la Información Pública del Estado de México y </w:t>
      </w:r>
      <w:r w:rsidRPr="00854523">
        <w:rPr>
          <w:rFonts w:ascii="Palatino Linotype" w:hAnsi="Palatino Linotype" w:cs="Tahoma"/>
        </w:rPr>
        <w:lastRenderedPageBreak/>
        <w:t>Municipios, pues no considera como atribución, derecho o facultad el efectuar ello, ya que implicaría un juicio de valor referente a un cuestionamiento realizado, lo que al constituir interrogantes, inquietudes y manifestaciones se satisfacen vía derecho de petición, siendo las atribuciones de este Instituto las contenidas en el artículo 36 de la Ley de Transparencia y Acceso a la Información Pública del Estado de México y Municipios, así como en el Título Primero, Capítulo II, del Reglamento Interior del Instituto de Transparencia, Acceso a la Información Pública y Protección de Datos Personales del Estado de México y Municipios.</w:t>
      </w:r>
    </w:p>
    <w:p w14:paraId="67603BC2" w14:textId="77777777" w:rsidR="00854523" w:rsidRDefault="00854523" w:rsidP="007B0FDC">
      <w:pPr>
        <w:autoSpaceDE w:val="0"/>
        <w:autoSpaceDN w:val="0"/>
        <w:adjustRightInd w:val="0"/>
        <w:spacing w:line="360" w:lineRule="auto"/>
        <w:ind w:left="567" w:right="539"/>
        <w:jc w:val="both"/>
        <w:rPr>
          <w:rFonts w:ascii="Palatino Linotype" w:hAnsi="Palatino Linotype" w:cs="Tahoma"/>
        </w:rPr>
      </w:pPr>
    </w:p>
    <w:p w14:paraId="71E17277" w14:textId="4529307F" w:rsidR="00854523" w:rsidRDefault="00854523" w:rsidP="007B0FDC">
      <w:pPr>
        <w:autoSpaceDE w:val="0"/>
        <w:autoSpaceDN w:val="0"/>
        <w:adjustRightInd w:val="0"/>
        <w:spacing w:line="360" w:lineRule="auto"/>
        <w:ind w:left="567" w:right="539"/>
        <w:jc w:val="both"/>
        <w:rPr>
          <w:rFonts w:ascii="Palatino Linotype" w:hAnsi="Palatino Linotype" w:cs="Tahoma"/>
        </w:rPr>
      </w:pPr>
      <w:r w:rsidRPr="00854523">
        <w:rPr>
          <w:rFonts w:ascii="Palatino Linotype" w:hAnsi="Palatino Linotype" w:cs="Tahoma"/>
        </w:rPr>
        <w:t>En ese tenor, hago de su conocimiento que esta no es la vía para atender lo solicitado, pues como ha quedado señalado, se trata de cuestionamientos y manifestaciones encaminadas a obtener un juicio de valor por parte de este Instituto, tendientes a aclarar un cuestionamiento o una inquietud, lo cual no constituye el ejercicio del Derecho de Acceso a la Información Pública</w:t>
      </w:r>
      <w:r>
        <w:rPr>
          <w:rFonts w:ascii="Palatino Linotype" w:hAnsi="Palatino Linotype" w:cs="Tahoma"/>
        </w:rPr>
        <w:t>.</w:t>
      </w:r>
    </w:p>
    <w:p w14:paraId="7C2F7F07" w14:textId="77777777" w:rsidR="00854523" w:rsidRDefault="00854523" w:rsidP="007B0FDC">
      <w:pPr>
        <w:autoSpaceDE w:val="0"/>
        <w:autoSpaceDN w:val="0"/>
        <w:adjustRightInd w:val="0"/>
        <w:spacing w:line="360" w:lineRule="auto"/>
        <w:ind w:left="567" w:right="539"/>
        <w:jc w:val="both"/>
        <w:rPr>
          <w:rFonts w:ascii="Palatino Linotype" w:hAnsi="Palatino Linotype" w:cs="Tahoma"/>
        </w:rPr>
      </w:pPr>
    </w:p>
    <w:p w14:paraId="2B029ABC" w14:textId="2B7116E4" w:rsidR="007B0FDC" w:rsidRDefault="007B0FDC" w:rsidP="007B0FDC">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15651E13" w14:textId="77777777" w:rsidR="004F1465" w:rsidRDefault="004F1465" w:rsidP="007479DD">
      <w:pPr>
        <w:autoSpaceDE w:val="0"/>
        <w:autoSpaceDN w:val="0"/>
        <w:adjustRightInd w:val="0"/>
        <w:spacing w:line="360" w:lineRule="auto"/>
        <w:jc w:val="both"/>
        <w:rPr>
          <w:rFonts w:ascii="Palatino Linotype" w:hAnsi="Palatino Linotype" w:cs="Tahoma"/>
          <w:b/>
          <w:sz w:val="22"/>
          <w:szCs w:val="22"/>
        </w:rPr>
      </w:pPr>
    </w:p>
    <w:p w14:paraId="3FC23343" w14:textId="02D07757" w:rsidR="00587F23" w:rsidRPr="00AF6580"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152B91">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7017C937" w14:textId="77777777" w:rsidR="00035017" w:rsidRPr="00AF6580" w:rsidRDefault="00035017" w:rsidP="007479DD">
      <w:pPr>
        <w:autoSpaceDE w:val="0"/>
        <w:autoSpaceDN w:val="0"/>
        <w:adjustRightInd w:val="0"/>
        <w:spacing w:line="360" w:lineRule="auto"/>
        <w:jc w:val="both"/>
        <w:rPr>
          <w:rFonts w:ascii="Palatino Linotype" w:hAnsi="Palatino Linotype" w:cs="Tahoma"/>
          <w:b/>
          <w:sz w:val="22"/>
          <w:szCs w:val="22"/>
        </w:rPr>
      </w:pPr>
    </w:p>
    <w:p w14:paraId="519D5511" w14:textId="2865E948" w:rsidR="00806144" w:rsidRPr="00AF6580" w:rsidRDefault="00806144"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152B91">
        <w:rPr>
          <w:rFonts w:ascii="Palatino Linotype" w:hAnsi="Palatino Linotype" w:cs="Tahoma"/>
          <w:sz w:val="22"/>
          <w:szCs w:val="22"/>
        </w:rPr>
        <w:t>dos de noviembre</w:t>
      </w:r>
      <w:r w:rsidRPr="00AF6580">
        <w:rPr>
          <w:rFonts w:ascii="Palatino Linotype" w:hAnsi="Palatino Linotype" w:cs="Tahoma"/>
          <w:sz w:val="22"/>
          <w:szCs w:val="22"/>
        </w:rPr>
        <w:t xml:space="preserve"> de dos mil dieciocho,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recurrente</w:t>
      </w:r>
      <w:r w:rsidR="00152B91">
        <w:rPr>
          <w:rFonts w:ascii="Palatino Linotype" w:hAnsi="Palatino Linotype" w:cs="Tahoma"/>
          <w:sz w:val="22"/>
          <w:szCs w:val="22"/>
        </w:rPr>
        <w:t xml:space="preserve">, </w:t>
      </w:r>
      <w:r w:rsidRPr="00AF6580">
        <w:rPr>
          <w:rFonts w:ascii="Palatino Linotype" w:hAnsi="Palatino Linotype" w:cs="Tahoma"/>
          <w:sz w:val="22"/>
          <w:szCs w:val="22"/>
        </w:rPr>
        <w:t xml:space="preserve">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14:paraId="1BD552C8" w14:textId="77777777"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61D581D2" w14:textId="7D9ED3CB" w:rsidR="00C25238" w:rsidRPr="00AF6580" w:rsidRDefault="00854523" w:rsidP="007479DD">
      <w:pPr>
        <w:tabs>
          <w:tab w:val="left" w:pos="4667"/>
        </w:tabs>
        <w:spacing w:line="360" w:lineRule="auto"/>
        <w:ind w:left="567" w:right="567"/>
        <w:jc w:val="both"/>
        <w:rPr>
          <w:rFonts w:ascii="Palatino Linotype" w:hAnsi="Palatino Linotype" w:cs="Tahoma"/>
          <w:bCs/>
          <w:sz w:val="22"/>
          <w:szCs w:val="22"/>
          <w:lang w:val="es-MX"/>
        </w:rPr>
      </w:pPr>
      <w:r>
        <w:rPr>
          <w:rFonts w:ascii="Palatino Linotype" w:hAnsi="Palatino Linotype" w:cs="Tahoma"/>
          <w:b/>
          <w:bCs/>
          <w:sz w:val="22"/>
          <w:szCs w:val="22"/>
          <w:lang w:val="es-MX"/>
        </w:rPr>
        <w:t>“</w:t>
      </w:r>
      <w:r w:rsidR="00C25238" w:rsidRPr="00AF6580">
        <w:rPr>
          <w:rFonts w:ascii="Palatino Linotype" w:hAnsi="Palatino Linotype" w:cs="Tahoma"/>
          <w:b/>
          <w:bCs/>
          <w:sz w:val="22"/>
          <w:szCs w:val="22"/>
          <w:lang w:val="es-MX"/>
        </w:rPr>
        <w:t>ACTO IMPUGNADO</w:t>
      </w:r>
    </w:p>
    <w:p w14:paraId="5DF4409E" w14:textId="64B23454" w:rsidR="00D147D5" w:rsidRDefault="00854523" w:rsidP="00152B91">
      <w:pPr>
        <w:autoSpaceDE w:val="0"/>
        <w:autoSpaceDN w:val="0"/>
        <w:adjustRightInd w:val="0"/>
        <w:spacing w:line="360" w:lineRule="auto"/>
        <w:ind w:left="567" w:right="567"/>
        <w:jc w:val="both"/>
        <w:rPr>
          <w:rFonts w:ascii="Palatino Linotype" w:eastAsiaTheme="minorHAnsi" w:hAnsi="Palatino Linotype" w:cs="Tahoma"/>
          <w:lang w:val="es-MX" w:eastAsia="en-US"/>
        </w:rPr>
      </w:pPr>
      <w:r w:rsidRPr="00854523">
        <w:rPr>
          <w:rFonts w:ascii="Palatino Linotype" w:eastAsiaTheme="minorHAnsi" w:hAnsi="Palatino Linotype" w:cs="Tahoma"/>
          <w:lang w:val="es-MX" w:eastAsia="en-US"/>
        </w:rPr>
        <w:t>la respuesta emitida</w:t>
      </w:r>
      <w:r>
        <w:rPr>
          <w:rFonts w:ascii="Palatino Linotype" w:eastAsiaTheme="minorHAnsi" w:hAnsi="Palatino Linotype" w:cs="Tahoma"/>
          <w:lang w:val="es-MX" w:eastAsia="en-US"/>
        </w:rPr>
        <w:t>”</w:t>
      </w:r>
    </w:p>
    <w:p w14:paraId="788E98EE" w14:textId="77777777" w:rsidR="00152B91" w:rsidRPr="00152B91" w:rsidRDefault="00152B91" w:rsidP="00152B91">
      <w:pPr>
        <w:autoSpaceDE w:val="0"/>
        <w:autoSpaceDN w:val="0"/>
        <w:adjustRightInd w:val="0"/>
        <w:spacing w:line="360" w:lineRule="auto"/>
        <w:ind w:left="567" w:right="567"/>
        <w:jc w:val="both"/>
        <w:rPr>
          <w:rFonts w:ascii="Palatino Linotype" w:hAnsi="Palatino Linotype" w:cs="Tahoma"/>
        </w:rPr>
      </w:pPr>
    </w:p>
    <w:p w14:paraId="7C29F9E4" w14:textId="0CDD7044" w:rsidR="00C25238" w:rsidRPr="00AF6580" w:rsidRDefault="00854523" w:rsidP="007479DD">
      <w:pPr>
        <w:autoSpaceDE w:val="0"/>
        <w:autoSpaceDN w:val="0"/>
        <w:adjustRightInd w:val="0"/>
        <w:spacing w:line="360" w:lineRule="auto"/>
        <w:ind w:right="567" w:firstLine="567"/>
        <w:jc w:val="both"/>
        <w:rPr>
          <w:rFonts w:ascii="Palatino Linotype" w:hAnsi="Palatino Linotype" w:cs="Tahoma"/>
          <w:b/>
          <w:sz w:val="22"/>
          <w:szCs w:val="22"/>
        </w:rPr>
      </w:pPr>
      <w:r>
        <w:rPr>
          <w:rFonts w:ascii="Palatino Linotype" w:hAnsi="Palatino Linotype" w:cs="Tahoma"/>
          <w:b/>
          <w:sz w:val="22"/>
          <w:szCs w:val="22"/>
        </w:rPr>
        <w:t>“</w:t>
      </w:r>
      <w:r w:rsidR="00C25238" w:rsidRPr="00AF6580">
        <w:rPr>
          <w:rFonts w:ascii="Palatino Linotype" w:hAnsi="Palatino Linotype" w:cs="Tahoma"/>
          <w:b/>
          <w:sz w:val="22"/>
          <w:szCs w:val="22"/>
        </w:rPr>
        <w:t>RAZONES O MOTIVOS DE LA INCONFORMIDAD</w:t>
      </w:r>
    </w:p>
    <w:p w14:paraId="04E0473E" w14:textId="26288A24" w:rsidR="006B0426" w:rsidRDefault="00854523" w:rsidP="00152B91">
      <w:pPr>
        <w:spacing w:line="360" w:lineRule="auto"/>
        <w:ind w:left="567" w:right="567"/>
        <w:jc w:val="both"/>
        <w:rPr>
          <w:rFonts w:ascii="Palatino Linotype" w:eastAsiaTheme="minorHAnsi" w:hAnsi="Palatino Linotype" w:cs="Tahoma"/>
          <w:lang w:val="es-MX" w:eastAsia="en-US"/>
        </w:rPr>
      </w:pPr>
      <w:r>
        <w:rPr>
          <w:rFonts w:ascii="Palatino Linotype" w:eastAsiaTheme="minorHAnsi" w:hAnsi="Palatino Linotype" w:cs="Tahoma"/>
          <w:lang w:val="es-MX" w:eastAsia="en-US"/>
        </w:rPr>
        <w:lastRenderedPageBreak/>
        <w:t>s</w:t>
      </w:r>
      <w:r w:rsidRPr="00854523">
        <w:rPr>
          <w:rFonts w:ascii="Palatino Linotype" w:eastAsiaTheme="minorHAnsi" w:hAnsi="Palatino Linotype" w:cs="Tahoma"/>
          <w:lang w:val="es-MX" w:eastAsia="en-US"/>
        </w:rPr>
        <w:t xml:space="preserve">e me informa que son cuestionamientos personales y del </w:t>
      </w:r>
      <w:proofErr w:type="spellStart"/>
      <w:r w:rsidRPr="00854523">
        <w:rPr>
          <w:rFonts w:ascii="Palatino Linotype" w:eastAsiaTheme="minorHAnsi" w:hAnsi="Palatino Linotype" w:cs="Tahoma"/>
          <w:lang w:val="es-MX" w:eastAsia="en-US"/>
        </w:rPr>
        <w:t>analisis</w:t>
      </w:r>
      <w:proofErr w:type="spellEnd"/>
      <w:r w:rsidRPr="00854523">
        <w:rPr>
          <w:rFonts w:ascii="Palatino Linotype" w:eastAsiaTheme="minorHAnsi" w:hAnsi="Palatino Linotype" w:cs="Tahoma"/>
          <w:lang w:val="es-MX" w:eastAsia="en-US"/>
        </w:rPr>
        <w:t xml:space="preserve"> de la pregunta solicite si como </w:t>
      </w:r>
      <w:proofErr w:type="spellStart"/>
      <w:r w:rsidRPr="00854523">
        <w:rPr>
          <w:rFonts w:ascii="Palatino Linotype" w:eastAsiaTheme="minorHAnsi" w:hAnsi="Palatino Linotype" w:cs="Tahoma"/>
          <w:lang w:val="es-MX" w:eastAsia="en-US"/>
        </w:rPr>
        <w:t>organo</w:t>
      </w:r>
      <w:proofErr w:type="spellEnd"/>
      <w:r w:rsidRPr="00854523">
        <w:rPr>
          <w:rFonts w:ascii="Palatino Linotype" w:eastAsiaTheme="minorHAnsi" w:hAnsi="Palatino Linotype" w:cs="Tahoma"/>
          <w:lang w:val="es-MX" w:eastAsia="en-US"/>
        </w:rPr>
        <w:t xml:space="preserve"> </w:t>
      </w:r>
      <w:proofErr w:type="spellStart"/>
      <w:r w:rsidRPr="00854523">
        <w:rPr>
          <w:rFonts w:ascii="Palatino Linotype" w:eastAsiaTheme="minorHAnsi" w:hAnsi="Palatino Linotype" w:cs="Tahoma"/>
          <w:lang w:val="es-MX" w:eastAsia="en-US"/>
        </w:rPr>
        <w:t>maximo</w:t>
      </w:r>
      <w:proofErr w:type="spellEnd"/>
      <w:r w:rsidRPr="00854523">
        <w:rPr>
          <w:rFonts w:ascii="Palatino Linotype" w:eastAsiaTheme="minorHAnsi" w:hAnsi="Palatino Linotype" w:cs="Tahoma"/>
          <w:lang w:val="es-MX" w:eastAsia="en-US"/>
        </w:rPr>
        <w:t xml:space="preserve"> en mi estado y como peritos en la materia pueden informar si es correcto o no la actividad que realizan algunos titulares de información al no regirse en apego a la normatividad dejando claro que este instituto no vigila las respuestas y el desempeño de los responsables en atender con eficiencia y eficacia la petición de información como responsabilidad y derecho humano.</w:t>
      </w:r>
      <w:r w:rsidR="00152B91">
        <w:rPr>
          <w:rFonts w:ascii="Palatino Linotype" w:eastAsiaTheme="minorHAnsi" w:hAnsi="Palatino Linotype" w:cs="Tahoma"/>
          <w:lang w:val="es-MX" w:eastAsia="en-US"/>
        </w:rPr>
        <w:t>”</w:t>
      </w:r>
    </w:p>
    <w:p w14:paraId="34F506D6" w14:textId="77777777" w:rsidR="006B0426" w:rsidRPr="00AF6580" w:rsidRDefault="006B0426" w:rsidP="007479DD">
      <w:pPr>
        <w:spacing w:line="360" w:lineRule="auto"/>
        <w:ind w:right="567"/>
        <w:jc w:val="both"/>
        <w:rPr>
          <w:rFonts w:ascii="Palatino Linotype" w:hAnsi="Palatino Linotype" w:cs="Tahoma"/>
          <w:bCs/>
          <w:sz w:val="22"/>
          <w:szCs w:val="22"/>
          <w:lang w:val="es-MX"/>
        </w:rPr>
      </w:pPr>
    </w:p>
    <w:p w14:paraId="21F9299C" w14:textId="127EE7E6" w:rsidR="00B31222" w:rsidRPr="00AF6580" w:rsidRDefault="00152B91" w:rsidP="007479D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6EBE05F5" w14:textId="77777777" w:rsidR="00E445DA" w:rsidRPr="00AF6580" w:rsidRDefault="00E445DA" w:rsidP="007479DD">
      <w:pPr>
        <w:spacing w:line="360" w:lineRule="auto"/>
        <w:jc w:val="both"/>
        <w:rPr>
          <w:rFonts w:ascii="Palatino Linotype" w:eastAsia="Batang" w:hAnsi="Palatino Linotype" w:cs="Tahoma"/>
          <w:b/>
          <w:bCs/>
          <w:sz w:val="22"/>
          <w:szCs w:val="22"/>
        </w:rPr>
      </w:pPr>
    </w:p>
    <w:p w14:paraId="0AF7825E" w14:textId="580C4805"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854523">
        <w:rPr>
          <w:rFonts w:ascii="Palatino Linotype" w:eastAsia="Batang" w:hAnsi="Palatino Linotype" w:cs="Tahoma"/>
          <w:bCs/>
          <w:sz w:val="22"/>
          <w:szCs w:val="22"/>
          <w:lang w:val="es-MX"/>
        </w:rPr>
        <w:t xml:space="preserve">veintiocho </w:t>
      </w:r>
      <w:r w:rsidR="00152B91">
        <w:rPr>
          <w:rFonts w:ascii="Palatino Linotype" w:eastAsia="Batang" w:hAnsi="Palatino Linotype" w:cs="Tahoma"/>
          <w:bCs/>
          <w:sz w:val="22"/>
          <w:szCs w:val="22"/>
          <w:lang w:val="es-MX"/>
        </w:rPr>
        <w:t xml:space="preserve">de noviembre </w:t>
      </w:r>
      <w:r w:rsidR="00B31222" w:rsidRPr="00AF6580">
        <w:rPr>
          <w:rFonts w:ascii="Palatino Linotype" w:eastAsia="Batang" w:hAnsi="Palatino Linotype" w:cs="Tahoma"/>
          <w:bCs/>
          <w:sz w:val="22"/>
          <w:szCs w:val="22"/>
          <w:lang w:val="es-MX"/>
        </w:rPr>
        <w:t xml:space="preserve">de dos mil dieciocho, este Instituto asignó el número de expediente </w:t>
      </w:r>
      <w:r w:rsidR="00152B91">
        <w:rPr>
          <w:rFonts w:ascii="Palatino Linotype" w:eastAsia="Batang" w:hAnsi="Palatino Linotype" w:cs="Tahoma"/>
          <w:b/>
          <w:bCs/>
          <w:sz w:val="22"/>
          <w:szCs w:val="22"/>
          <w:lang w:val="es-MX"/>
        </w:rPr>
        <w:t>04</w:t>
      </w:r>
      <w:r w:rsidR="00854523">
        <w:rPr>
          <w:rFonts w:ascii="Palatino Linotype" w:eastAsia="Batang" w:hAnsi="Palatino Linotype" w:cs="Tahoma"/>
          <w:b/>
          <w:bCs/>
          <w:sz w:val="22"/>
          <w:szCs w:val="22"/>
          <w:lang w:val="es-MX"/>
        </w:rPr>
        <w:t>536</w:t>
      </w:r>
      <w:r w:rsidR="00CB05F4" w:rsidRPr="00AF6580">
        <w:rPr>
          <w:rFonts w:ascii="Palatino Linotype" w:eastAsia="Batang" w:hAnsi="Palatino Linotype" w:cs="Tahoma"/>
          <w:b/>
          <w:bCs/>
          <w:sz w:val="22"/>
          <w:szCs w:val="22"/>
          <w:lang w:val="es-MX"/>
        </w:rPr>
        <w:t xml:space="preserve">/INFOEM/IP/RR/2018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AB5D9D">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 xml:space="preserve">Ley de Transparencia y </w:t>
      </w:r>
      <w:r w:rsidR="000F674A" w:rsidRPr="00AF6580">
        <w:rPr>
          <w:rFonts w:ascii="Palatino Linotype" w:eastAsia="Batang" w:hAnsi="Palatino Linotype" w:cs="Tahoma"/>
          <w:bCs/>
          <w:sz w:val="22"/>
          <w:szCs w:val="22"/>
          <w:lang w:val="es-MX"/>
        </w:rPr>
        <w:t>Acceso</w:t>
      </w:r>
      <w:r w:rsidR="00625DFB" w:rsidRPr="00AF6580">
        <w:rPr>
          <w:rFonts w:ascii="Palatino Linotype" w:eastAsia="Batang" w:hAnsi="Palatino Linotype" w:cs="Tahoma"/>
          <w:bCs/>
          <w:sz w:val="22"/>
          <w:szCs w:val="22"/>
          <w:lang w:val="es-MX"/>
        </w:rPr>
        <w:t xml:space="preserve">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1C0F6571" w14:textId="2AD9E2F5" w:rsidR="006877F1" w:rsidRPr="00DB71E0" w:rsidRDefault="00625DFB" w:rsidP="006877F1">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854523">
        <w:rPr>
          <w:rFonts w:ascii="Palatino Linotype" w:eastAsia="Batang" w:hAnsi="Palatino Linotype" w:cs="Tahoma"/>
          <w:bCs/>
          <w:sz w:val="22"/>
          <w:szCs w:val="22"/>
          <w:lang w:val="es-ES_tradnl"/>
        </w:rPr>
        <w:t xml:space="preserve">cuatro de diciembre </w:t>
      </w:r>
      <w:r w:rsidR="00B31222" w:rsidRPr="00AF6580">
        <w:rPr>
          <w:rFonts w:ascii="Palatino Linotype" w:eastAsia="Batang" w:hAnsi="Palatino Linotype" w:cs="Tahoma"/>
          <w:bCs/>
          <w:sz w:val="22"/>
          <w:szCs w:val="22"/>
          <w:lang w:val="es-ES_tradnl"/>
        </w:rPr>
        <w:t xml:space="preserve">de dos mil dieciocho,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del Ayuntamiento de</w:t>
      </w:r>
      <w:r w:rsidR="006877F1">
        <w:rPr>
          <w:rFonts w:ascii="Palatino Linotype" w:hAnsi="Palatino Linotype" w:cs="Tahoma"/>
          <w:sz w:val="22"/>
          <w:szCs w:val="22"/>
        </w:rPr>
        <w:t xml:space="preserve"> Tepotzotlán</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6877F1">
        <w:rPr>
          <w:rFonts w:ascii="Palatino Linotype" w:hAnsi="Palatino Linotype" w:cs="Tahoma"/>
          <w:bCs/>
          <w:sz w:val="22"/>
          <w:szCs w:val="22"/>
          <w:lang w:val="es-MX"/>
        </w:rPr>
        <w:t xml:space="preserve">acto que le </w:t>
      </w:r>
      <w:r w:rsidR="006877F1" w:rsidRPr="000D2301">
        <w:rPr>
          <w:rFonts w:ascii="Palatino Linotype" w:hAnsi="Palatino Linotype" w:cs="Tahoma"/>
          <w:bCs/>
          <w:sz w:val="22"/>
          <w:szCs w:val="22"/>
          <w:lang w:val="es-MX"/>
        </w:rPr>
        <w:t xml:space="preserve"> fue notificado a las partes el mismo día de admitidos, a través del Sistema de Acceso a la Información Mexiquense (SAIMEX), </w:t>
      </w:r>
      <w:r w:rsidR="004F1465">
        <w:rPr>
          <w:rFonts w:ascii="Palatino Linotype" w:hAnsi="Palatino Linotype" w:cs="Tahoma"/>
          <w:bCs/>
          <w:sz w:val="22"/>
          <w:szCs w:val="22"/>
          <w:lang w:val="es-MX"/>
        </w:rPr>
        <w:t xml:space="preserve">en el </w:t>
      </w:r>
      <w:r w:rsidR="00157D55">
        <w:rPr>
          <w:rFonts w:ascii="Palatino Linotype" w:hAnsi="Palatino Linotype" w:cs="Tahoma"/>
          <w:bCs/>
          <w:sz w:val="22"/>
          <w:szCs w:val="22"/>
          <w:lang w:val="es-MX"/>
        </w:rPr>
        <w:t>que</w:t>
      </w:r>
      <w:r w:rsidR="004F1465">
        <w:rPr>
          <w:rFonts w:ascii="Palatino Linotype" w:hAnsi="Palatino Linotype" w:cs="Tahoma"/>
          <w:bCs/>
          <w:sz w:val="22"/>
          <w:szCs w:val="22"/>
          <w:lang w:val="es-MX"/>
        </w:rPr>
        <w:t xml:space="preserve"> se les </w:t>
      </w:r>
      <w:r w:rsidR="004F1465" w:rsidRPr="000D2301">
        <w:rPr>
          <w:rFonts w:ascii="Palatino Linotype" w:hAnsi="Palatino Linotype" w:cs="Tahoma"/>
          <w:bCs/>
          <w:sz w:val="22"/>
          <w:szCs w:val="22"/>
          <w:lang w:val="es-MX"/>
        </w:rPr>
        <w:t>otorg</w:t>
      </w:r>
      <w:r w:rsidR="004F1465">
        <w:rPr>
          <w:rFonts w:ascii="Palatino Linotype" w:hAnsi="Palatino Linotype" w:cs="Tahoma"/>
          <w:bCs/>
          <w:sz w:val="22"/>
          <w:szCs w:val="22"/>
          <w:lang w:val="es-MX"/>
        </w:rPr>
        <w:t>ó</w:t>
      </w:r>
      <w:r w:rsidR="004F1465" w:rsidRPr="000D2301">
        <w:rPr>
          <w:rFonts w:ascii="Palatino Linotype" w:hAnsi="Palatino Linotype" w:cs="Tahoma"/>
          <w:bCs/>
          <w:sz w:val="22"/>
          <w:szCs w:val="22"/>
          <w:lang w:val="es-MX"/>
        </w:rPr>
        <w:t xml:space="preserve"> </w:t>
      </w:r>
      <w:r w:rsidR="006877F1" w:rsidRPr="000D2301">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1C2146B6" w14:textId="28C4AC36" w:rsidR="00625DFB" w:rsidRPr="00AF6580" w:rsidRDefault="00625DFB" w:rsidP="007479DD">
      <w:pPr>
        <w:spacing w:line="360" w:lineRule="auto"/>
        <w:jc w:val="both"/>
        <w:rPr>
          <w:rFonts w:ascii="Palatino Linotype" w:hAnsi="Palatino Linotype" w:cs="Tahoma"/>
          <w:sz w:val="22"/>
          <w:szCs w:val="22"/>
          <w:lang w:val="es-ES_tradnl"/>
        </w:rPr>
      </w:pPr>
    </w:p>
    <w:p w14:paraId="4BBFCFD8" w14:textId="63248830" w:rsidR="00B2065E" w:rsidRDefault="00581D41" w:rsidP="007479DD">
      <w:pPr>
        <w:spacing w:line="360" w:lineRule="auto"/>
        <w:jc w:val="both"/>
        <w:rPr>
          <w:rFonts w:ascii="Palatino Linotype" w:hAnsi="Palatino Linotype" w:cs="Tahoma"/>
          <w:bCs/>
          <w:iCs/>
          <w:sz w:val="22"/>
          <w:szCs w:val="22"/>
        </w:rPr>
      </w:pPr>
      <w:r w:rsidRPr="00AF6580">
        <w:rPr>
          <w:rFonts w:ascii="Palatino Linotype" w:hAnsi="Palatino Linotype" w:cs="Tahoma"/>
          <w:b/>
          <w:sz w:val="22"/>
          <w:szCs w:val="22"/>
        </w:rPr>
        <w:lastRenderedPageBreak/>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B2065E">
        <w:rPr>
          <w:rFonts w:ascii="Palatino Linotype" w:hAnsi="Palatino Linotype" w:cs="Tahoma"/>
          <w:sz w:val="22"/>
          <w:szCs w:val="22"/>
          <w:lang w:val="es-ES_tradnl"/>
        </w:rPr>
        <w:t xml:space="preserve">cinco de diciembre </w:t>
      </w:r>
      <w:r w:rsidR="00CB05F4" w:rsidRPr="00AF6580">
        <w:rPr>
          <w:rFonts w:ascii="Palatino Linotype" w:hAnsi="Palatino Linotype" w:cs="Tahoma"/>
          <w:sz w:val="22"/>
          <w:szCs w:val="22"/>
          <w:lang w:val="es-ES_tradnl"/>
        </w:rPr>
        <w:t xml:space="preserve">de </w:t>
      </w:r>
      <w:r w:rsidR="00B31222" w:rsidRPr="00AF6580">
        <w:rPr>
          <w:rFonts w:ascii="Palatino Linotype" w:hAnsi="Palatino Linotype" w:cs="Tahoma"/>
          <w:sz w:val="22"/>
          <w:szCs w:val="22"/>
          <w:lang w:val="es-ES_tradnl"/>
        </w:rPr>
        <w:t xml:space="preserve">dos mil dieciocho,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 xml:space="preserve">(SAIMEX) </w:t>
      </w:r>
      <w:r w:rsidR="00004A65">
        <w:rPr>
          <w:rFonts w:ascii="Palatino Linotype" w:hAnsi="Palatino Linotype" w:cs="Tahoma"/>
          <w:bCs/>
          <w:iCs/>
          <w:sz w:val="22"/>
          <w:szCs w:val="22"/>
        </w:rPr>
        <w:t>l</w:t>
      </w:r>
      <w:r w:rsidR="00B2065E">
        <w:rPr>
          <w:rFonts w:ascii="Palatino Linotype" w:hAnsi="Palatino Linotype" w:cs="Tahoma"/>
          <w:bCs/>
          <w:iCs/>
          <w:sz w:val="22"/>
          <w:szCs w:val="22"/>
        </w:rPr>
        <w:t>as</w:t>
      </w:r>
      <w:r w:rsidR="00004A65">
        <w:rPr>
          <w:rFonts w:ascii="Palatino Linotype" w:hAnsi="Palatino Linotype" w:cs="Tahoma"/>
          <w:bCs/>
          <w:iCs/>
          <w:sz w:val="22"/>
          <w:szCs w:val="22"/>
        </w:rPr>
        <w:t xml:space="preserve"> </w:t>
      </w:r>
      <w:r w:rsidR="00B2065E">
        <w:rPr>
          <w:rFonts w:ascii="Palatino Linotype" w:hAnsi="Palatino Linotype" w:cs="Tahoma"/>
          <w:bCs/>
          <w:iCs/>
          <w:sz w:val="22"/>
          <w:szCs w:val="22"/>
        </w:rPr>
        <w:t>manifestaciones hechas por el Recurrente en las que señala lo siguiente:</w:t>
      </w:r>
    </w:p>
    <w:p w14:paraId="3836DC61" w14:textId="77777777" w:rsidR="00B2065E" w:rsidRDefault="00B2065E" w:rsidP="007479DD">
      <w:pPr>
        <w:spacing w:line="360" w:lineRule="auto"/>
        <w:jc w:val="both"/>
        <w:rPr>
          <w:rFonts w:ascii="Palatino Linotype" w:hAnsi="Palatino Linotype" w:cs="Tahoma"/>
          <w:bCs/>
          <w:iCs/>
          <w:sz w:val="22"/>
          <w:szCs w:val="22"/>
        </w:rPr>
      </w:pPr>
    </w:p>
    <w:p w14:paraId="2BB1499C" w14:textId="7BE3D20C" w:rsidR="00B2065E" w:rsidRDefault="00B2065E" w:rsidP="00B2065E">
      <w:pPr>
        <w:spacing w:line="360" w:lineRule="auto"/>
        <w:ind w:left="567" w:right="567"/>
        <w:jc w:val="both"/>
        <w:rPr>
          <w:rFonts w:ascii="Palatino Linotype" w:hAnsi="Palatino Linotype" w:cs="Tahoma"/>
          <w:szCs w:val="22"/>
        </w:rPr>
      </w:pPr>
      <w:r>
        <w:rPr>
          <w:rFonts w:ascii="Palatino Linotype" w:hAnsi="Palatino Linotype" w:cs="Tahoma"/>
          <w:szCs w:val="22"/>
        </w:rPr>
        <w:t>“</w:t>
      </w:r>
      <w:r w:rsidRPr="00B2065E">
        <w:rPr>
          <w:rFonts w:ascii="Palatino Linotype" w:hAnsi="Palatino Linotype" w:cs="Tahoma"/>
          <w:szCs w:val="22"/>
        </w:rPr>
        <w:t>SE INFORMO QUE ESTE INSTITUTO NO ES COMPETENTE PARA ATENDER LA INFORMACIÓN QUE REQUIERE LA SUSCRITA, SIN EMBARGO SE VIOLA EL DERECHO HUMANO DE CONOCER INFORMACIÓN PUBLICA DE OFICIO, MAXIME QUE ESTA DEPENDENCIA ES LA QUE DEBE GARANTIZAR Y EN DADO CASO INFORMAR CON CLARIDAD QUE INFORMACIÓN ES TENDIENTE A SER O NO PROPORCIONADA DADO LOS CRITERIOS, RESOLUCIONES O BIEN VOTO PARTICULAR QUE EMITA UN  COMISIONADO (A), POR LO ANTERIOR SOLICITO QUE SE ATIENDA MI PETICIÓN Y NO SEA CANALIZADA A OTRA DEPENDENCIA HACIENDO MAL USO DEL PRINCIPIO DE ORIENTACIÓN.</w:t>
      </w:r>
      <w:r>
        <w:rPr>
          <w:rFonts w:ascii="Palatino Linotype" w:hAnsi="Palatino Linotype" w:cs="Tahoma"/>
          <w:szCs w:val="22"/>
        </w:rPr>
        <w:t>”</w:t>
      </w:r>
    </w:p>
    <w:p w14:paraId="6DFE2193" w14:textId="77777777" w:rsidR="00B2065E" w:rsidRPr="00B2065E" w:rsidRDefault="00B2065E" w:rsidP="00B2065E">
      <w:pPr>
        <w:spacing w:line="360" w:lineRule="auto"/>
        <w:ind w:left="567" w:right="567"/>
        <w:jc w:val="both"/>
        <w:rPr>
          <w:rFonts w:ascii="Palatino Linotype" w:hAnsi="Palatino Linotype" w:cs="Tahoma"/>
          <w:szCs w:val="22"/>
        </w:rPr>
      </w:pPr>
    </w:p>
    <w:p w14:paraId="4D0A6EBD" w14:textId="1D886942" w:rsidR="00081885" w:rsidRPr="006877F1" w:rsidRDefault="00B2065E" w:rsidP="007479DD">
      <w:pPr>
        <w:spacing w:line="360" w:lineRule="auto"/>
        <w:jc w:val="both"/>
        <w:rPr>
          <w:rFonts w:ascii="Palatino Linotype" w:hAnsi="Palatino Linotype" w:cs="Tahoma"/>
          <w:sz w:val="22"/>
          <w:szCs w:val="22"/>
        </w:rPr>
      </w:pPr>
      <w:r>
        <w:rPr>
          <w:rFonts w:ascii="Palatino Linotype" w:hAnsi="Palatino Linotype" w:cs="Tahoma"/>
          <w:bCs/>
          <w:iCs/>
          <w:sz w:val="22"/>
          <w:szCs w:val="22"/>
        </w:rPr>
        <w:t xml:space="preserve">Posteriormente el doce de diciembre del año dos mil dieciocho se recibió a través del Sistema de Acceso a la Información Mexiquense (SAIMEX) el </w:t>
      </w:r>
      <w:r w:rsidR="00004A65">
        <w:rPr>
          <w:rFonts w:ascii="Palatino Linotype" w:hAnsi="Palatino Linotype" w:cs="Tahoma"/>
          <w:bCs/>
          <w:iCs/>
          <w:sz w:val="22"/>
          <w:szCs w:val="22"/>
        </w:rPr>
        <w:t>Informe J</w:t>
      </w:r>
      <w:r w:rsidR="00CB05F4" w:rsidRPr="00AF6580">
        <w:rPr>
          <w:rFonts w:ascii="Palatino Linotype" w:hAnsi="Palatino Linotype" w:cs="Tahoma"/>
          <w:bCs/>
          <w:iCs/>
          <w:sz w:val="22"/>
          <w:szCs w:val="22"/>
        </w:rPr>
        <w:t xml:space="preserve">ustificado </w:t>
      </w:r>
      <w:r w:rsidR="005F3F8B" w:rsidRPr="00AF6580">
        <w:rPr>
          <w:rFonts w:ascii="Palatino Linotype" w:hAnsi="Palatino Linotype" w:cs="Tahoma"/>
          <w:bCs/>
          <w:iCs/>
          <w:sz w:val="22"/>
          <w:szCs w:val="22"/>
        </w:rPr>
        <w:t xml:space="preserve">del </w:t>
      </w:r>
      <w:r w:rsidRPr="00854523">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r w:rsidR="00B31222" w:rsidRPr="00AF6580">
        <w:rPr>
          <w:rFonts w:ascii="Palatino Linotype" w:hAnsi="Palatino Linotype" w:cs="Tahoma"/>
          <w:sz w:val="22"/>
          <w:szCs w:val="22"/>
        </w:rPr>
        <w:t xml:space="preserve">, </w:t>
      </w:r>
      <w:r>
        <w:rPr>
          <w:rFonts w:ascii="Palatino Linotype" w:hAnsi="Palatino Linotype" w:cs="Tahoma"/>
          <w:sz w:val="22"/>
          <w:szCs w:val="22"/>
        </w:rPr>
        <w:t>en el que modifico su respuesta señalando lo</w:t>
      </w:r>
      <w:r w:rsidR="00565C0E" w:rsidRPr="00AF6580">
        <w:rPr>
          <w:rFonts w:ascii="Palatino Linotype" w:hAnsi="Palatino Linotype" w:cs="Tahoma"/>
          <w:bCs/>
          <w:iCs/>
          <w:sz w:val="22"/>
          <w:szCs w:val="22"/>
        </w:rPr>
        <w:t xml:space="preserve"> </w:t>
      </w:r>
      <w:r w:rsidR="00081885" w:rsidRPr="00AF6580">
        <w:rPr>
          <w:rFonts w:ascii="Palatino Linotype" w:hAnsi="Palatino Linotype" w:cs="Tahoma"/>
          <w:bCs/>
          <w:iCs/>
          <w:sz w:val="22"/>
          <w:szCs w:val="22"/>
        </w:rPr>
        <w:t>siguiente:</w:t>
      </w:r>
    </w:p>
    <w:p w14:paraId="5E561E38" w14:textId="77777777" w:rsidR="00491DB2" w:rsidRPr="00AF6580" w:rsidRDefault="00491DB2" w:rsidP="007479DD">
      <w:pPr>
        <w:spacing w:line="360" w:lineRule="auto"/>
        <w:ind w:left="567" w:right="567"/>
        <w:jc w:val="both"/>
        <w:rPr>
          <w:rFonts w:ascii="Palatino Linotype" w:hAnsi="Palatino Linotype" w:cs="Tahoma"/>
          <w:sz w:val="22"/>
          <w:szCs w:val="22"/>
        </w:rPr>
      </w:pPr>
    </w:p>
    <w:p w14:paraId="4DE51F35" w14:textId="7492DA5B" w:rsidR="00134A3B" w:rsidRPr="00746CC7" w:rsidRDefault="007E700D"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r w:rsidR="001E49D7" w:rsidRPr="00746CC7">
        <w:rPr>
          <w:rFonts w:ascii="Palatino Linotype" w:hAnsi="Palatino Linotype" w:cs="Tahoma"/>
          <w:szCs w:val="22"/>
        </w:rPr>
        <w:t>…</w:t>
      </w:r>
    </w:p>
    <w:p w14:paraId="7A1CCACC" w14:textId="7534C953" w:rsidR="00135946" w:rsidRDefault="00594120" w:rsidP="007479DD">
      <w:pPr>
        <w:spacing w:line="360" w:lineRule="auto"/>
        <w:ind w:left="567" w:right="567"/>
        <w:jc w:val="both"/>
        <w:rPr>
          <w:rFonts w:ascii="Palatino Linotype" w:hAnsi="Palatino Linotype" w:cs="Tahoma"/>
          <w:szCs w:val="22"/>
        </w:rPr>
      </w:pPr>
      <w:r w:rsidRPr="00594120">
        <w:rPr>
          <w:rFonts w:ascii="Palatino Linotype" w:hAnsi="Palatino Linotype" w:cs="Tahoma"/>
          <w:szCs w:val="22"/>
        </w:rPr>
        <w:t>No obstante, esta Unidad de Transparencia  del Instituto de Transparencia,  Acceso a la Información Pública y Protección q</w:t>
      </w:r>
      <w:r>
        <w:rPr>
          <w:rFonts w:ascii="Palatino Linotype" w:hAnsi="Palatino Linotype" w:cs="Tahoma"/>
          <w:szCs w:val="22"/>
        </w:rPr>
        <w:t>u</w:t>
      </w:r>
      <w:r w:rsidRPr="00594120">
        <w:rPr>
          <w:rFonts w:ascii="Palatino Linotype" w:hAnsi="Palatino Linotype" w:cs="Tahoma"/>
          <w:szCs w:val="22"/>
        </w:rPr>
        <w:t>e Datos Personales del Estado de México y Municipios, atendiendo al principio de "Máxima  Publicidad" establecido en los artículos 4, segundo párrafo, 8, segundo párrafo y 9, fracción VII de la Ley de Transparencia y Acceso a la Información Pública  del Estado de México y Municipios, da a conocer al recurrente las "Funciones d</w:t>
      </w:r>
      <w:r w:rsidR="000F674A">
        <w:rPr>
          <w:rFonts w:ascii="Palatino Linotype" w:hAnsi="Palatino Linotype" w:cs="Tahoma"/>
          <w:szCs w:val="22"/>
        </w:rPr>
        <w:t>e las Unidades de Transparencia</w:t>
      </w:r>
      <w:r w:rsidRPr="00594120">
        <w:rPr>
          <w:rFonts w:ascii="Palatino Linotype" w:hAnsi="Palatino Linotype" w:cs="Tahoma"/>
          <w:szCs w:val="22"/>
        </w:rPr>
        <w:t xml:space="preserve"> así como las "Atribuciones de los Comités de Transparencia", tal y como se transcribe a continuación:</w:t>
      </w:r>
    </w:p>
    <w:p w14:paraId="6BDDB05B" w14:textId="195F01E9" w:rsidR="00594120" w:rsidRPr="00594120" w:rsidRDefault="00594120" w:rsidP="00594120">
      <w:pPr>
        <w:spacing w:line="360" w:lineRule="auto"/>
        <w:ind w:left="567" w:right="567"/>
        <w:jc w:val="both"/>
        <w:rPr>
          <w:rFonts w:ascii="Palatino Linotype" w:hAnsi="Palatino Linotype" w:cs="Tahoma"/>
          <w:b/>
          <w:szCs w:val="22"/>
        </w:rPr>
      </w:pPr>
      <w:r w:rsidRPr="00594120">
        <w:rPr>
          <w:rFonts w:ascii="Palatino Linotype" w:hAnsi="Palatino Linotype" w:cs="Tahoma"/>
          <w:b/>
          <w:szCs w:val="22"/>
        </w:rPr>
        <w:lastRenderedPageBreak/>
        <w:t xml:space="preserve">Capítulo </w:t>
      </w:r>
      <w:r w:rsidR="00E60CF3">
        <w:rPr>
          <w:rFonts w:ascii="Palatino Linotype" w:hAnsi="Palatino Linotype" w:cs="Tahoma"/>
          <w:b/>
          <w:szCs w:val="22"/>
        </w:rPr>
        <w:t>III</w:t>
      </w:r>
    </w:p>
    <w:p w14:paraId="32C3937D" w14:textId="77777777" w:rsidR="00594120" w:rsidRPr="00594120" w:rsidRDefault="00594120" w:rsidP="00594120">
      <w:pPr>
        <w:spacing w:line="360" w:lineRule="auto"/>
        <w:ind w:left="567" w:right="567"/>
        <w:jc w:val="both"/>
        <w:rPr>
          <w:rFonts w:ascii="Palatino Linotype" w:hAnsi="Palatino Linotype" w:cs="Tahoma"/>
          <w:b/>
          <w:szCs w:val="22"/>
        </w:rPr>
      </w:pPr>
      <w:r w:rsidRPr="00594120">
        <w:rPr>
          <w:rFonts w:ascii="Palatino Linotype" w:hAnsi="Palatino Linotype" w:cs="Tahoma"/>
          <w:b/>
          <w:szCs w:val="22"/>
        </w:rPr>
        <w:t>De las Unidades de Transparencia</w:t>
      </w:r>
    </w:p>
    <w:p w14:paraId="13FDE2C7" w14:textId="77777777" w:rsidR="00594120" w:rsidRPr="00594120" w:rsidRDefault="00594120" w:rsidP="00594120">
      <w:pPr>
        <w:spacing w:line="360" w:lineRule="auto"/>
        <w:ind w:left="567" w:right="567"/>
        <w:jc w:val="both"/>
        <w:rPr>
          <w:rFonts w:ascii="Palatino Linotype" w:hAnsi="Palatino Linotype" w:cs="Tahoma"/>
          <w:szCs w:val="22"/>
        </w:rPr>
      </w:pPr>
    </w:p>
    <w:p w14:paraId="0DF1A0E5" w14:textId="019F24C7" w:rsidR="00594120" w:rsidRPr="00B67D46" w:rsidRDefault="00594120" w:rsidP="00594120">
      <w:pPr>
        <w:spacing w:line="360" w:lineRule="auto"/>
        <w:ind w:left="567" w:right="567"/>
        <w:jc w:val="both"/>
        <w:rPr>
          <w:rFonts w:ascii="Palatino Linotype" w:hAnsi="Palatino Linotype" w:cs="Tahoma"/>
          <w:i/>
          <w:szCs w:val="22"/>
        </w:rPr>
      </w:pPr>
      <w:r w:rsidRPr="00594120">
        <w:rPr>
          <w:rFonts w:ascii="Palatino Linotype" w:hAnsi="Palatino Linotype" w:cs="Tahoma"/>
          <w:b/>
          <w:szCs w:val="22"/>
        </w:rPr>
        <w:t>Artículo 53.</w:t>
      </w:r>
      <w:r>
        <w:rPr>
          <w:rFonts w:ascii="Palatino Linotype" w:hAnsi="Palatino Linotype" w:cs="Tahoma"/>
          <w:szCs w:val="22"/>
        </w:rPr>
        <w:t xml:space="preserve"> </w:t>
      </w:r>
      <w:r w:rsidRPr="00B67D46">
        <w:rPr>
          <w:rFonts w:ascii="Palatino Linotype" w:hAnsi="Palatino Linotype" w:cs="Tahoma"/>
          <w:i/>
          <w:szCs w:val="22"/>
        </w:rPr>
        <w:t>Las  Unidades de Transparencia tendrán las siguientes funciones:</w:t>
      </w:r>
    </w:p>
    <w:p w14:paraId="09B6384D" w14:textId="77777777" w:rsidR="00594120" w:rsidRPr="00B67D46" w:rsidRDefault="00594120" w:rsidP="00594120">
      <w:pPr>
        <w:spacing w:line="360" w:lineRule="auto"/>
        <w:ind w:left="567" w:right="567"/>
        <w:jc w:val="both"/>
        <w:rPr>
          <w:rFonts w:ascii="Palatino Linotype" w:hAnsi="Palatino Linotype" w:cs="Tahoma"/>
          <w:i/>
          <w:szCs w:val="22"/>
        </w:rPr>
      </w:pPr>
    </w:p>
    <w:p w14:paraId="2E9AA3E9" w14:textId="77777777"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l.</w:t>
      </w:r>
      <w:r w:rsidRPr="00B67D46">
        <w:rPr>
          <w:rFonts w:ascii="Palatino Linotype" w:hAnsi="Palatino Linotype" w:cs="Tahoma"/>
          <w:i/>
          <w:szCs w:val="22"/>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D8EF57C" w14:textId="723A09B5"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II.</w:t>
      </w:r>
      <w:r w:rsidRPr="00B67D46">
        <w:rPr>
          <w:rFonts w:ascii="Palatino Linotype" w:hAnsi="Palatino Linotype" w:cs="Tahoma"/>
          <w:i/>
          <w:szCs w:val="22"/>
        </w:rPr>
        <w:t xml:space="preserve"> Recibir, tramitar y dar respuesta a las solicitudes de acceso a la  información;</w:t>
      </w:r>
    </w:p>
    <w:p w14:paraId="706CA010" w14:textId="2D022360"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III</w:t>
      </w:r>
      <w:r w:rsidRPr="00B67D46">
        <w:rPr>
          <w:rFonts w:ascii="Palatino Linotype" w:hAnsi="Palatino Linotype" w:cs="Tahoma"/>
          <w:i/>
          <w:szCs w:val="22"/>
        </w:rPr>
        <w:t>. Auxiliar a los particulares en la elaboración de solicitudes de acceso a la información y, en su caso, orientarlos sobre los sujetos obligados competentes conforme a la normatividad aplicable;</w:t>
      </w:r>
    </w:p>
    <w:p w14:paraId="12457622" w14:textId="06D2A126"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IV</w:t>
      </w:r>
      <w:r w:rsidRPr="00B67D46">
        <w:rPr>
          <w:rFonts w:ascii="Palatino Linotype" w:hAnsi="Palatino Linotype" w:cs="Tahoma"/>
          <w:i/>
          <w:szCs w:val="22"/>
        </w:rPr>
        <w:t>. Realizar, con efectividad, los trámites internos necesarios para la atención de las solicitudes de acceso a la información;</w:t>
      </w:r>
    </w:p>
    <w:p w14:paraId="0DD1B49F" w14:textId="250AAC76"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w:t>
      </w:r>
      <w:r w:rsidRPr="00B67D46">
        <w:rPr>
          <w:rFonts w:ascii="Palatino Linotype" w:hAnsi="Palatino Linotype" w:cs="Tahoma"/>
          <w:i/>
          <w:szCs w:val="22"/>
        </w:rPr>
        <w:t>. Entregar, en su caso, a los particulares la información solicitada;</w:t>
      </w:r>
    </w:p>
    <w:p w14:paraId="410AE911" w14:textId="46931386"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w:t>
      </w:r>
      <w:r w:rsidRPr="00B67D46">
        <w:rPr>
          <w:rFonts w:ascii="Palatino Linotype" w:hAnsi="Palatino Linotype" w:cs="Tahoma"/>
          <w:i/>
          <w:szCs w:val="22"/>
        </w:rPr>
        <w:t>. Efectuar las notificaciones a los solicitantes;</w:t>
      </w:r>
    </w:p>
    <w:p w14:paraId="5A9BF895" w14:textId="032E950A"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VII.</w:t>
      </w:r>
      <w:r w:rsidRPr="00B67D46">
        <w:rPr>
          <w:rFonts w:ascii="Palatino Linotype" w:hAnsi="Palatino Linotype" w:cs="Tahoma"/>
          <w:i/>
          <w:szCs w:val="22"/>
        </w:rPr>
        <w:t xml:space="preserve"> Proponer al Comité de Transparencia, los procedimientos internos que aseguren la mayor eficiencia en la gestión de las solicitudes de acceso a la información, conforme a la normatividad aplicable;</w:t>
      </w:r>
    </w:p>
    <w:p w14:paraId="02CD65EA" w14:textId="7DBD42EE"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VIII.</w:t>
      </w:r>
      <w:r w:rsidRPr="00B67D46">
        <w:rPr>
          <w:rFonts w:ascii="Palatino Linotype" w:hAnsi="Palatino Linotype" w:cs="Tahoma"/>
          <w:i/>
          <w:szCs w:val="22"/>
        </w:rPr>
        <w:t xml:space="preserve"> Proponer a quien preside el Comité de Transparencia, personal habilitado que sea necesario para recibir y dar trámite a las solicitudes de acceso a la información;</w:t>
      </w:r>
    </w:p>
    <w:p w14:paraId="1CCB80CD" w14:textId="644C378F"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IX</w:t>
      </w:r>
      <w:r w:rsidRPr="00B67D46">
        <w:rPr>
          <w:rFonts w:ascii="Palatino Linotype" w:hAnsi="Palatino Linotype" w:cs="Tahoma"/>
          <w:i/>
          <w:szCs w:val="22"/>
        </w:rPr>
        <w:t>. Llevar un registro de las solicitudes de acceso a la información, sus respuestas, resultados, costos de reproducción y envío, resolución a los recursos de revisión que se hayan emitido en contra de sus respuestas y del cumplimiento de las mismas;</w:t>
      </w:r>
    </w:p>
    <w:p w14:paraId="4618F431" w14:textId="1B786719"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w:t>
      </w:r>
      <w:r w:rsidRPr="00B67D46">
        <w:rPr>
          <w:rFonts w:ascii="Palatino Linotype" w:hAnsi="Palatino Linotype" w:cs="Tahoma"/>
          <w:i/>
          <w:szCs w:val="22"/>
        </w:rPr>
        <w:t>. Presentar ante el Comité, el proyecto de clasificación de información;</w:t>
      </w:r>
    </w:p>
    <w:p w14:paraId="465CE3BA" w14:textId="33BA7929"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w:t>
      </w:r>
      <w:r w:rsidRPr="00B67D46">
        <w:rPr>
          <w:rFonts w:ascii="Palatino Linotype" w:hAnsi="Palatino Linotype" w:cs="Tahoma"/>
          <w:i/>
          <w:szCs w:val="22"/>
        </w:rPr>
        <w:t xml:space="preserve"> Promover e implementar políticas de transparencia proactiva procurando su accesibilidad;</w:t>
      </w:r>
    </w:p>
    <w:p w14:paraId="74992DEF" w14:textId="500321AE"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XII</w:t>
      </w:r>
      <w:r w:rsidRPr="00B67D46">
        <w:rPr>
          <w:rFonts w:ascii="Palatino Linotype" w:hAnsi="Palatino Linotype" w:cs="Tahoma"/>
          <w:i/>
          <w:szCs w:val="22"/>
        </w:rPr>
        <w:t>. Fomentar la transparencia y accesibilidad al interior del sujeto obligado;</w:t>
      </w:r>
    </w:p>
    <w:p w14:paraId="33842216" w14:textId="7F415141"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lastRenderedPageBreak/>
        <w:t>XIII.</w:t>
      </w:r>
      <w:r w:rsidRPr="00B67D46">
        <w:rPr>
          <w:rFonts w:ascii="Palatino Linotype" w:hAnsi="Palatino Linotype" w:cs="Tahoma"/>
          <w:i/>
          <w:szCs w:val="22"/>
        </w:rPr>
        <w:t xml:space="preserve"> Hacer del conocimiento de la instancia competente la probable responsabilidad por el incumplimiento de las obligaciones previstas en la presente Ley; y</w:t>
      </w:r>
    </w:p>
    <w:p w14:paraId="6F1C6DFF" w14:textId="127418D1"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XIV.</w:t>
      </w:r>
      <w:r w:rsidRPr="00B67D46">
        <w:rPr>
          <w:rFonts w:ascii="Palatino Linotype" w:hAnsi="Palatino Linotype" w:cs="Tahoma"/>
          <w:i/>
          <w:szCs w:val="22"/>
        </w:rPr>
        <w:t xml:space="preserve"> Las demás que resulten necesarias para facilitar el acceso a la información y aquellas que se desprenden de la presente Ley y demás disposiciones jurídicas aplicables</w:t>
      </w:r>
      <w:r w:rsidR="00B67D46" w:rsidRPr="00B67D46">
        <w:rPr>
          <w:rFonts w:ascii="Palatino Linotype" w:hAnsi="Palatino Linotype" w:cs="Tahoma"/>
          <w:i/>
          <w:szCs w:val="22"/>
        </w:rPr>
        <w:t>.</w:t>
      </w:r>
    </w:p>
    <w:p w14:paraId="4167C475" w14:textId="1CF372E3" w:rsidR="00594120" w:rsidRPr="00B67D46" w:rsidRDefault="00594120" w:rsidP="00594120">
      <w:pPr>
        <w:spacing w:line="360" w:lineRule="auto"/>
        <w:ind w:left="567" w:right="567"/>
        <w:jc w:val="both"/>
        <w:rPr>
          <w:rFonts w:ascii="Palatino Linotype" w:hAnsi="Palatino Linotype" w:cs="Tahoma"/>
          <w:i/>
          <w:szCs w:val="22"/>
        </w:rPr>
      </w:pPr>
      <w:r w:rsidRPr="00B67D46">
        <w:rPr>
          <w:rFonts w:ascii="Palatino Linotype" w:hAnsi="Palatino Linotype" w:cs="Tahoma"/>
          <w:i/>
          <w:szCs w:val="22"/>
        </w:rPr>
        <w:t>Los sujetos obligados promoverán acuerdos con instituciones públicas especializadas que pudieran auxiliarse a entregar las respuestas a solicitudes de información, en la lengua indígena, braille o cualquier</w:t>
      </w:r>
      <w:r w:rsidR="00B67D46" w:rsidRPr="00B67D46">
        <w:rPr>
          <w:rFonts w:ascii="Palatino Linotype" w:hAnsi="Palatino Linotype" w:cs="Tahoma"/>
          <w:i/>
          <w:szCs w:val="22"/>
        </w:rPr>
        <w:t xml:space="preserve"> </w:t>
      </w:r>
      <w:r w:rsidRPr="00B67D46">
        <w:rPr>
          <w:rFonts w:ascii="Palatino Linotype" w:hAnsi="Palatino Linotype" w:cs="Tahoma"/>
          <w:i/>
          <w:szCs w:val="22"/>
        </w:rPr>
        <w:t>formato accesible correspondiente, en</w:t>
      </w:r>
      <w:r w:rsidR="00B67D46" w:rsidRPr="00B67D46">
        <w:rPr>
          <w:rFonts w:ascii="Palatino Linotype" w:hAnsi="Palatino Linotype" w:cs="Tahoma"/>
          <w:i/>
          <w:szCs w:val="22"/>
        </w:rPr>
        <w:t xml:space="preserve"> </w:t>
      </w:r>
      <w:r w:rsidRPr="00B67D46">
        <w:rPr>
          <w:rFonts w:ascii="Palatino Linotype" w:hAnsi="Palatino Linotype" w:cs="Tahoma"/>
          <w:i/>
          <w:szCs w:val="22"/>
        </w:rPr>
        <w:t>forma  más eficiente.</w:t>
      </w:r>
    </w:p>
    <w:p w14:paraId="32010D46" w14:textId="77777777" w:rsidR="00B67D46" w:rsidRDefault="00B67D46" w:rsidP="00594120">
      <w:pPr>
        <w:spacing w:line="360" w:lineRule="auto"/>
        <w:ind w:left="567" w:right="567"/>
        <w:jc w:val="both"/>
        <w:rPr>
          <w:rFonts w:ascii="Palatino Linotype" w:hAnsi="Palatino Linotype" w:cs="Tahoma"/>
          <w:i/>
          <w:szCs w:val="22"/>
        </w:rPr>
      </w:pPr>
    </w:p>
    <w:p w14:paraId="428B2D2E" w14:textId="673E8E38" w:rsidR="00B67D46" w:rsidRPr="00B67D46" w:rsidRDefault="00B67D46" w:rsidP="00594120">
      <w:pPr>
        <w:spacing w:line="360" w:lineRule="auto"/>
        <w:ind w:left="567" w:right="567"/>
        <w:jc w:val="both"/>
        <w:rPr>
          <w:rFonts w:ascii="Palatino Linotype" w:hAnsi="Palatino Linotype" w:cs="Tahoma"/>
          <w:i/>
          <w:szCs w:val="22"/>
        </w:rPr>
      </w:pPr>
      <w:r w:rsidRPr="00B67D46">
        <w:rPr>
          <w:rFonts w:ascii="Palatino Linotype" w:hAnsi="Palatino Linotype" w:cs="Tahoma"/>
          <w:i/>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w:t>
      </w:r>
      <w:r>
        <w:rPr>
          <w:rFonts w:ascii="Palatino Linotype" w:hAnsi="Palatino Linotype" w:cs="Tahoma"/>
          <w:i/>
          <w:szCs w:val="22"/>
        </w:rPr>
        <w:t xml:space="preserve"> </w:t>
      </w:r>
      <w:r w:rsidRPr="00B67D46">
        <w:rPr>
          <w:rFonts w:ascii="Palatino Linotype" w:hAnsi="Palatino Linotype" w:cs="Tahoma"/>
          <w:i/>
          <w:szCs w:val="22"/>
        </w:rPr>
        <w:t>fin de que puedan consultar los sistemas que integran la Plataforma Nacional de Transparencia, presentar solicitudes de acceso a la información y facilitar su gestión e interponer los recursos que las leyes establezcan.</w:t>
      </w:r>
    </w:p>
    <w:p w14:paraId="5ED1CF0D" w14:textId="77777777" w:rsidR="00B67D46" w:rsidRDefault="00B67D46" w:rsidP="006877F1">
      <w:pPr>
        <w:spacing w:line="360" w:lineRule="auto"/>
        <w:ind w:left="567" w:right="567"/>
        <w:jc w:val="both"/>
        <w:rPr>
          <w:rFonts w:ascii="Palatino Linotype" w:hAnsi="Palatino Linotype" w:cs="Tahoma"/>
          <w:szCs w:val="22"/>
        </w:rPr>
      </w:pPr>
    </w:p>
    <w:p w14:paraId="4BBBEC2F" w14:textId="0B6EA48F" w:rsidR="00B67D46" w:rsidRDefault="00B67D46" w:rsidP="006877F1">
      <w:pPr>
        <w:spacing w:line="360" w:lineRule="auto"/>
        <w:ind w:left="567" w:right="567"/>
        <w:jc w:val="both"/>
        <w:rPr>
          <w:rFonts w:ascii="Palatino Linotype" w:hAnsi="Palatino Linotype" w:cs="Tahoma"/>
          <w:szCs w:val="22"/>
        </w:rPr>
      </w:pPr>
      <w:r w:rsidRPr="00B67D46">
        <w:rPr>
          <w:rFonts w:ascii="Palatino Linotype" w:hAnsi="Palatino Linotype" w:cs="Tahoma"/>
          <w:szCs w:val="22"/>
        </w:rPr>
        <w:t xml:space="preserve">Así mismo, se hace del conocimiento del recurrente, que las </w:t>
      </w:r>
      <w:r w:rsidRPr="00B67D46">
        <w:rPr>
          <w:rFonts w:ascii="Palatino Linotype" w:hAnsi="Palatino Linotype" w:cs="Tahoma"/>
          <w:b/>
          <w:szCs w:val="22"/>
        </w:rPr>
        <w:t>facultades y/o atribuciones</w:t>
      </w:r>
      <w:r w:rsidRPr="00B67D46">
        <w:rPr>
          <w:rFonts w:ascii="Palatino Linotype" w:hAnsi="Palatino Linotype" w:cs="Tahoma"/>
          <w:szCs w:val="22"/>
        </w:rPr>
        <w:t xml:space="preserve"> del Comité de Transparencia, se detallan en el </w:t>
      </w:r>
      <w:r w:rsidRPr="00B67D46">
        <w:rPr>
          <w:rFonts w:ascii="Palatino Linotype" w:hAnsi="Palatino Linotype" w:cs="Tahoma"/>
          <w:b/>
          <w:szCs w:val="22"/>
        </w:rPr>
        <w:t>Título Segundo</w:t>
      </w:r>
      <w:r w:rsidRPr="00B67D46">
        <w:rPr>
          <w:rFonts w:ascii="Palatino Linotype" w:hAnsi="Palatino Linotype" w:cs="Tahoma"/>
          <w:szCs w:val="22"/>
        </w:rPr>
        <w:t xml:space="preserve">, denominado: </w:t>
      </w:r>
      <w:r w:rsidRPr="00B67D46">
        <w:rPr>
          <w:rFonts w:ascii="Palatino Linotype" w:hAnsi="Palatino Linotype" w:cs="Tahoma"/>
          <w:b/>
          <w:szCs w:val="22"/>
        </w:rPr>
        <w:t>"Responsables en Materia de Transparencia y Acceso a la Información"</w:t>
      </w:r>
      <w:r w:rsidRPr="00B67D46">
        <w:rPr>
          <w:rFonts w:ascii="Palatino Linotype" w:hAnsi="Palatino Linotype" w:cs="Tahoma"/>
          <w:szCs w:val="22"/>
        </w:rPr>
        <w:t xml:space="preserve">, capítulo II </w:t>
      </w:r>
      <w:r w:rsidRPr="00B67D46">
        <w:rPr>
          <w:rFonts w:ascii="Palatino Linotype" w:hAnsi="Palatino Linotype" w:cs="Tahoma"/>
          <w:b/>
          <w:szCs w:val="22"/>
        </w:rPr>
        <w:t>"De los Comités de Transparencia",</w:t>
      </w:r>
      <w:r w:rsidRPr="00B67D46">
        <w:rPr>
          <w:rFonts w:ascii="Palatino Linotype" w:hAnsi="Palatino Linotype" w:cs="Tahoma"/>
          <w:szCs w:val="22"/>
        </w:rPr>
        <w:t xml:space="preserve"> particularmente en el artículo 49 de la </w:t>
      </w:r>
      <w:r w:rsidRPr="00B67D46">
        <w:rPr>
          <w:rFonts w:ascii="Palatino Linotype" w:hAnsi="Palatino Linotype" w:cs="Tahoma"/>
          <w:b/>
          <w:szCs w:val="22"/>
        </w:rPr>
        <w:t>Ley de Transparencia y Acceso a la Información Pública del Estado de México y Municipios</w:t>
      </w:r>
      <w:r w:rsidRPr="00B67D46">
        <w:rPr>
          <w:rFonts w:ascii="Palatino Linotype" w:hAnsi="Palatino Linotype" w:cs="Tahoma"/>
          <w:szCs w:val="22"/>
        </w:rPr>
        <w:t xml:space="preserve">, así como en el artículo 94 de la </w:t>
      </w:r>
      <w:r w:rsidRPr="00B67D46">
        <w:rPr>
          <w:rFonts w:ascii="Palatino Linotype" w:hAnsi="Palatino Linotype" w:cs="Tahoma"/>
          <w:b/>
          <w:szCs w:val="22"/>
        </w:rPr>
        <w:t>Ley de Protección de Datos Personales en Posesión de los Sujetos Obligados del Estado de México y Municipios,</w:t>
      </w:r>
      <w:r w:rsidRPr="00B67D46">
        <w:rPr>
          <w:rFonts w:ascii="Palatino Linotype" w:hAnsi="Palatino Linotype" w:cs="Tahoma"/>
          <w:szCs w:val="22"/>
        </w:rPr>
        <w:t xml:space="preserve"> los</w:t>
      </w:r>
      <w:r>
        <w:rPr>
          <w:rFonts w:ascii="Palatino Linotype" w:hAnsi="Palatino Linotype" w:cs="Tahoma"/>
          <w:szCs w:val="22"/>
        </w:rPr>
        <w:t xml:space="preserve"> </w:t>
      </w:r>
      <w:r w:rsidRPr="00B67D46">
        <w:rPr>
          <w:rFonts w:ascii="Palatino Linotype" w:hAnsi="Palatino Linotype" w:cs="Tahoma"/>
          <w:szCs w:val="22"/>
        </w:rPr>
        <w:t>cuales se reproducen  a continuación:</w:t>
      </w:r>
    </w:p>
    <w:p w14:paraId="057B1B45" w14:textId="77777777" w:rsidR="00B67D46" w:rsidRDefault="00B67D46" w:rsidP="00B67D46">
      <w:pPr>
        <w:spacing w:line="360" w:lineRule="auto"/>
        <w:ind w:left="567" w:right="567"/>
        <w:jc w:val="both"/>
        <w:rPr>
          <w:rFonts w:ascii="Palatino Linotype" w:hAnsi="Palatino Linotype" w:cs="Tahoma"/>
          <w:szCs w:val="22"/>
        </w:rPr>
      </w:pPr>
    </w:p>
    <w:p w14:paraId="6918BF3C" w14:textId="261036EE" w:rsidR="00B67D46" w:rsidRPr="00B67D46" w:rsidRDefault="00B67D46" w:rsidP="00B67D46">
      <w:pPr>
        <w:spacing w:line="360" w:lineRule="auto"/>
        <w:ind w:left="567" w:right="567"/>
        <w:jc w:val="both"/>
        <w:rPr>
          <w:rFonts w:ascii="Palatino Linotype" w:hAnsi="Palatino Linotype" w:cs="Tahoma"/>
          <w:szCs w:val="22"/>
        </w:rPr>
      </w:pPr>
      <w:r w:rsidRPr="00B67D46">
        <w:rPr>
          <w:rFonts w:ascii="Palatino Linotype" w:hAnsi="Palatino Linotype" w:cs="Tahoma"/>
          <w:szCs w:val="22"/>
        </w:rPr>
        <w:t>Artículo  49.  Ley  de Transparencia  y  Acceso  a  la Información  Pública  del  Estado  de México y</w:t>
      </w:r>
      <w:r>
        <w:rPr>
          <w:rFonts w:ascii="Palatino Linotype" w:hAnsi="Palatino Linotype" w:cs="Tahoma"/>
          <w:szCs w:val="22"/>
        </w:rPr>
        <w:t xml:space="preserve"> </w:t>
      </w:r>
      <w:r w:rsidRPr="00B67D46">
        <w:rPr>
          <w:rFonts w:ascii="Palatino Linotype" w:hAnsi="Palatino Linotype" w:cs="Tahoma"/>
          <w:szCs w:val="22"/>
        </w:rPr>
        <w:t>Municipios:</w:t>
      </w:r>
    </w:p>
    <w:p w14:paraId="756D48CB" w14:textId="77777777" w:rsidR="00B67D46" w:rsidRPr="00B67D46" w:rsidRDefault="00B67D46" w:rsidP="00B67D46">
      <w:pPr>
        <w:spacing w:line="360" w:lineRule="auto"/>
        <w:ind w:left="567" w:right="567"/>
        <w:jc w:val="both"/>
        <w:rPr>
          <w:rFonts w:ascii="Palatino Linotype" w:hAnsi="Palatino Linotype" w:cs="Tahoma"/>
          <w:szCs w:val="22"/>
        </w:rPr>
      </w:pPr>
    </w:p>
    <w:p w14:paraId="4365B3C6" w14:textId="7C8E9871" w:rsid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i/>
          <w:szCs w:val="22"/>
        </w:rPr>
        <w:lastRenderedPageBreak/>
        <w:t>"Los Comités de Transparencia  tendrán las siguientes atribuciones:</w:t>
      </w:r>
    </w:p>
    <w:p w14:paraId="0C2FEDA0" w14:textId="77777777" w:rsidR="00B67D46" w:rsidRPr="00B67D46" w:rsidRDefault="00B67D46" w:rsidP="00B67D46">
      <w:pPr>
        <w:spacing w:line="360" w:lineRule="auto"/>
        <w:ind w:left="567" w:right="567"/>
        <w:jc w:val="both"/>
        <w:rPr>
          <w:rFonts w:ascii="Palatino Linotype" w:hAnsi="Palatino Linotype" w:cs="Tahoma"/>
          <w:i/>
          <w:szCs w:val="22"/>
        </w:rPr>
      </w:pPr>
    </w:p>
    <w:p w14:paraId="6347872E" w14:textId="77777777"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l.</w:t>
      </w:r>
      <w:r w:rsidRPr="00B67D46">
        <w:rPr>
          <w:rFonts w:ascii="Palatino Linotype" w:hAnsi="Palatino Linotype" w:cs="Tahoma"/>
          <w:i/>
          <w:szCs w:val="22"/>
        </w:rPr>
        <w:t xml:space="preserve"> Instituir, coordinar y supervisar en términos de las disposiciones aplicables, las acciones, medidas y procedimientos que coadyuven a asegurar una mayor eficacia en la gestión y atención de las solicitudes en materia de acceso a la información;</w:t>
      </w:r>
    </w:p>
    <w:p w14:paraId="4A19DAEF" w14:textId="76606107"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II.</w:t>
      </w:r>
      <w:r w:rsidRPr="00B67D46">
        <w:rPr>
          <w:rFonts w:ascii="Palatino Linotype" w:hAnsi="Palatino Linotype" w:cs="Tahoma"/>
          <w:i/>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CF0D9E4" w14:textId="40DFDB51"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III</w:t>
      </w:r>
      <w:r w:rsidRPr="00B67D46">
        <w:rPr>
          <w:rFonts w:ascii="Palatino Linotype" w:hAnsi="Palatino Linotype" w:cs="Tahoma"/>
          <w:i/>
          <w:szCs w:val="22"/>
        </w:rPr>
        <w:t>. Ordenar, en su caso a las áreas competentes que generen la información que derivado de sus facultades, competencias y funciones deban tener en posesión o que previa acreditación de la imposibilidad de su generación, exponga, deforma fundada y motivada las razones por las cuales, en el caso particular, no ejercieron dichas</w:t>
      </w:r>
      <w:r>
        <w:rPr>
          <w:rFonts w:ascii="Palatino Linotype" w:hAnsi="Palatino Linotype" w:cs="Tahoma"/>
          <w:i/>
          <w:szCs w:val="22"/>
        </w:rPr>
        <w:t xml:space="preserve"> </w:t>
      </w:r>
      <w:r w:rsidRPr="00B67D46">
        <w:rPr>
          <w:rFonts w:ascii="Palatino Linotype" w:hAnsi="Palatino Linotype" w:cs="Tahoma"/>
          <w:i/>
          <w:szCs w:val="22"/>
        </w:rPr>
        <w:t>facultades, competencias o</w:t>
      </w:r>
      <w:r>
        <w:rPr>
          <w:rFonts w:ascii="Palatino Linotype" w:hAnsi="Palatino Linotype" w:cs="Tahoma"/>
          <w:i/>
          <w:szCs w:val="22"/>
        </w:rPr>
        <w:t xml:space="preserve"> </w:t>
      </w:r>
      <w:r w:rsidRPr="00B67D46">
        <w:rPr>
          <w:rFonts w:ascii="Palatino Linotype" w:hAnsi="Palatino Linotype" w:cs="Tahoma"/>
          <w:i/>
          <w:szCs w:val="22"/>
        </w:rPr>
        <w:t>funciones;</w:t>
      </w:r>
    </w:p>
    <w:p w14:paraId="57180E85" w14:textId="41C642E7" w:rsid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IV.</w:t>
      </w:r>
      <w:r w:rsidRPr="00B67D46">
        <w:rPr>
          <w:rFonts w:ascii="Palatino Linotype" w:hAnsi="Palatino Linotype" w:cs="Tahoma"/>
          <w:i/>
          <w:szCs w:val="22"/>
        </w:rPr>
        <w:t xml:space="preserve"> Establecer políticas para facilitar la obtención y entrega de información en las solicitudes que permita el adecuado ejercicio del derecho de acceso a la información;</w:t>
      </w:r>
    </w:p>
    <w:p w14:paraId="301ED1F1" w14:textId="0272EBD6"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w:t>
      </w:r>
      <w:r>
        <w:rPr>
          <w:rFonts w:ascii="Palatino Linotype" w:hAnsi="Palatino Linotype" w:cs="Tahoma"/>
          <w:i/>
          <w:szCs w:val="22"/>
        </w:rPr>
        <w:t xml:space="preserve"> </w:t>
      </w:r>
      <w:r w:rsidRPr="00B67D46">
        <w:rPr>
          <w:rFonts w:ascii="Palatino Linotype" w:hAnsi="Palatino Linotype" w:cs="Tahoma"/>
          <w:i/>
          <w:szCs w:val="22"/>
        </w:rPr>
        <w:t>Promover la capacitación y actualización de los servidores públicos o integrantes adscritos a las unidades de transparencia;</w:t>
      </w:r>
    </w:p>
    <w:p w14:paraId="2968D1F6" w14:textId="38D48412"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w:t>
      </w:r>
      <w:r>
        <w:rPr>
          <w:rFonts w:ascii="Palatino Linotype" w:hAnsi="Palatino Linotype" w:cs="Tahoma"/>
          <w:i/>
          <w:szCs w:val="22"/>
        </w:rPr>
        <w:t xml:space="preserve"> </w:t>
      </w:r>
      <w:r w:rsidRPr="00B67D46">
        <w:rPr>
          <w:rFonts w:ascii="Palatino Linotype" w:hAnsi="Palatino Linotype" w:cs="Tahoma"/>
          <w:i/>
          <w:szCs w:val="22"/>
        </w:rPr>
        <w:t>Establecer programas de capacitación en materia de transparencia, acceso a la información, accesibilidad y protección de datos personales, para todos los servidores públicos o integrantes del sujeto obligado;</w:t>
      </w:r>
    </w:p>
    <w:p w14:paraId="288A17D3" w14:textId="77777777" w:rsid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VII.</w:t>
      </w:r>
      <w:r>
        <w:rPr>
          <w:rFonts w:ascii="Palatino Linotype" w:hAnsi="Palatino Linotype" w:cs="Tahoma"/>
          <w:i/>
          <w:szCs w:val="22"/>
        </w:rPr>
        <w:t xml:space="preserve"> </w:t>
      </w:r>
      <w:r w:rsidRPr="00B67D46">
        <w:rPr>
          <w:rFonts w:ascii="Palatino Linotype" w:hAnsi="Palatino Linotype" w:cs="Tahoma"/>
          <w:i/>
          <w:szCs w:val="22"/>
        </w:rPr>
        <w:t xml:space="preserve">Solicitar y autorizar la ampliación del plazo de reserva de la información a que se refiere esta Ley; </w:t>
      </w:r>
    </w:p>
    <w:p w14:paraId="354B81D1" w14:textId="0416DF1B"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VIII.</w:t>
      </w:r>
      <w:r>
        <w:rPr>
          <w:rFonts w:ascii="Palatino Linotype" w:hAnsi="Palatino Linotype" w:cs="Tahoma"/>
          <w:i/>
          <w:szCs w:val="22"/>
        </w:rPr>
        <w:t xml:space="preserve"> </w:t>
      </w:r>
      <w:r w:rsidRPr="00B67D46">
        <w:rPr>
          <w:rFonts w:ascii="Palatino Linotype" w:hAnsi="Palatino Linotype" w:cs="Tahoma"/>
          <w:i/>
          <w:szCs w:val="22"/>
        </w:rPr>
        <w:t>Aprobar, modificar o revocar la clasificación de la información;</w:t>
      </w:r>
    </w:p>
    <w:p w14:paraId="2CBFF24A" w14:textId="77777777"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IX</w:t>
      </w:r>
      <w:r w:rsidRPr="00B67D46">
        <w:rPr>
          <w:rFonts w:ascii="Palatino Linotype" w:hAnsi="Palatino Linotype" w:cs="Tahoma"/>
          <w:i/>
          <w:szCs w:val="22"/>
        </w:rPr>
        <w:t>. Supervisar la aplicación de los lineamientos en materia de acceso a la información pública para el manejo, mantenimiento y seguridad de los datos personales, así como de los criterios de clasificación expedidos por el Instituto;</w:t>
      </w:r>
    </w:p>
    <w:p w14:paraId="5ABEBFAC" w14:textId="24E8C338"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w:t>
      </w:r>
      <w:r w:rsidRPr="00B67D46">
        <w:rPr>
          <w:rFonts w:ascii="Palatino Linotype" w:hAnsi="Palatino Linotype" w:cs="Tahoma"/>
          <w:i/>
          <w:szCs w:val="22"/>
        </w:rPr>
        <w:t>.</w:t>
      </w:r>
      <w:r>
        <w:rPr>
          <w:rFonts w:ascii="Palatino Linotype" w:hAnsi="Palatino Linotype" w:cs="Tahoma"/>
          <w:i/>
          <w:szCs w:val="22"/>
        </w:rPr>
        <w:t xml:space="preserve"> </w:t>
      </w:r>
      <w:r w:rsidRPr="00B67D46">
        <w:rPr>
          <w:rFonts w:ascii="Palatino Linotype" w:hAnsi="Palatino Linotype" w:cs="Tahoma"/>
          <w:i/>
          <w:szCs w:val="22"/>
        </w:rPr>
        <w:t>Elaborar un programa para facilitar la sistematización y actualización de la información, mismo que deberá remitirse al Instituto dentro de Los primeros veinte días de cada año;</w:t>
      </w:r>
    </w:p>
    <w:p w14:paraId="62CC0B90" w14:textId="76FA6147"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lastRenderedPageBreak/>
        <w:t>XI.</w:t>
      </w:r>
      <w:r>
        <w:rPr>
          <w:rFonts w:ascii="Palatino Linotype" w:hAnsi="Palatino Linotype" w:cs="Tahoma"/>
          <w:i/>
          <w:szCs w:val="22"/>
        </w:rPr>
        <w:t xml:space="preserve"> </w:t>
      </w:r>
      <w:r w:rsidRPr="00B67D46">
        <w:rPr>
          <w:rFonts w:ascii="Palatino Linotype" w:hAnsi="Palatino Linotype" w:cs="Tahoma"/>
          <w:i/>
          <w:szCs w:val="22"/>
        </w:rPr>
        <w:t>Recabar y enviar al Instituto, de conformidad con los lineamientos que éste expida, los datos necesarios para la elaboración del informe anual;</w:t>
      </w:r>
    </w:p>
    <w:p w14:paraId="48E48A99" w14:textId="18090A24"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XII</w:t>
      </w:r>
      <w:r w:rsidRPr="00B67D46">
        <w:rPr>
          <w:rFonts w:ascii="Palatino Linotype" w:hAnsi="Palatino Linotype" w:cs="Tahoma"/>
          <w:i/>
          <w:szCs w:val="22"/>
        </w:rPr>
        <w:t>.</w:t>
      </w:r>
      <w:r>
        <w:rPr>
          <w:rFonts w:ascii="Palatino Linotype" w:hAnsi="Palatino Linotype" w:cs="Tahoma"/>
          <w:i/>
          <w:szCs w:val="22"/>
        </w:rPr>
        <w:t xml:space="preserve"> </w:t>
      </w:r>
      <w:r w:rsidRPr="00B67D46">
        <w:rPr>
          <w:rFonts w:ascii="Palatino Linotype" w:hAnsi="Palatino Linotype" w:cs="Tahoma"/>
          <w:i/>
          <w:szCs w:val="22"/>
        </w:rPr>
        <w:t>Emitir las resoluciones que correspondan para la atención de las solicitudes de información;</w:t>
      </w:r>
    </w:p>
    <w:p w14:paraId="02A5F005" w14:textId="77777777"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XIII.</w:t>
      </w:r>
      <w:r w:rsidRPr="00B67D46">
        <w:rPr>
          <w:rFonts w:ascii="Palatino Linotype" w:hAnsi="Palatino Linotype" w:cs="Tahoma"/>
          <w:i/>
          <w:szCs w:val="22"/>
        </w:rPr>
        <w:t xml:space="preserve"> Dictaminar las declaratorias de inexistencia de la información que les remitan las unidades administrativas y resolver en consecuencia;</w:t>
      </w:r>
    </w:p>
    <w:p w14:paraId="32F59A87" w14:textId="2DD6D754"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XIV</w:t>
      </w:r>
      <w:r w:rsidRPr="00B67D46">
        <w:rPr>
          <w:rFonts w:ascii="Palatino Linotype" w:hAnsi="Palatino Linotype" w:cs="Tahoma"/>
          <w:i/>
          <w:szCs w:val="22"/>
        </w:rPr>
        <w:t>.</w:t>
      </w:r>
      <w:r>
        <w:rPr>
          <w:rFonts w:ascii="Palatino Linotype" w:hAnsi="Palatino Linotype" w:cs="Tahoma"/>
          <w:i/>
          <w:szCs w:val="22"/>
        </w:rPr>
        <w:t xml:space="preserve"> </w:t>
      </w:r>
      <w:r w:rsidRPr="00B67D46">
        <w:rPr>
          <w:rFonts w:ascii="Palatino Linotype" w:hAnsi="Palatino Linotype" w:cs="Tahoma"/>
          <w:i/>
          <w:szCs w:val="22"/>
        </w:rPr>
        <w:t>Supervisar  el registro y actualización de las solicitudes de acceso a la información, así como sus trámites, costos y resultados;</w:t>
      </w:r>
    </w:p>
    <w:p w14:paraId="1335F50E" w14:textId="3AB8B262"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XV.</w:t>
      </w:r>
      <w:r>
        <w:rPr>
          <w:rFonts w:ascii="Palatino Linotype" w:hAnsi="Palatino Linotype" w:cs="Tahoma"/>
          <w:i/>
          <w:szCs w:val="22"/>
        </w:rPr>
        <w:t xml:space="preserve"> </w:t>
      </w:r>
      <w:r w:rsidRPr="00B67D46">
        <w:rPr>
          <w:rFonts w:ascii="Palatino Linotype" w:hAnsi="Palatino Linotype" w:cs="Tahoma"/>
          <w:i/>
          <w:szCs w:val="22"/>
        </w:rPr>
        <w:t>Fomentar la cultura de transparencia;</w:t>
      </w:r>
    </w:p>
    <w:p w14:paraId="1806D38F" w14:textId="4BB4CC52"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XVI</w:t>
      </w:r>
      <w:r w:rsidRPr="00B67D46">
        <w:rPr>
          <w:rFonts w:ascii="Palatino Linotype" w:hAnsi="Palatino Linotype" w:cs="Tahoma"/>
          <w:i/>
          <w:szCs w:val="22"/>
        </w:rPr>
        <w:t>.</w:t>
      </w:r>
      <w:r>
        <w:rPr>
          <w:rFonts w:ascii="Palatino Linotype" w:hAnsi="Palatino Linotype" w:cs="Tahoma"/>
          <w:i/>
          <w:szCs w:val="22"/>
        </w:rPr>
        <w:t xml:space="preserve"> </w:t>
      </w:r>
      <w:r w:rsidRPr="00B67D46">
        <w:rPr>
          <w:rFonts w:ascii="Palatino Linotype" w:hAnsi="Palatino Linotype" w:cs="Tahoma"/>
          <w:i/>
          <w:szCs w:val="22"/>
        </w:rPr>
        <w:t>Supervisar el cumplimiento de criterios y lineamientos en materia de información clasificada;</w:t>
      </w:r>
    </w:p>
    <w:p w14:paraId="58EED4A3" w14:textId="5044DB6C"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XVII.</w:t>
      </w:r>
      <w:r>
        <w:rPr>
          <w:rFonts w:ascii="Palatino Linotype" w:hAnsi="Palatino Linotype" w:cs="Tahoma"/>
          <w:i/>
          <w:szCs w:val="22"/>
        </w:rPr>
        <w:t xml:space="preserve"> </w:t>
      </w:r>
      <w:r w:rsidRPr="00B67D46">
        <w:rPr>
          <w:rFonts w:ascii="Palatino Linotype" w:hAnsi="Palatino Linotype" w:cs="Tahoma"/>
          <w:i/>
          <w:szCs w:val="22"/>
        </w:rPr>
        <w:t>Vigilar el cumplimiento de las resoluciones y recomendaciones que emita el Instituto; y</w:t>
      </w:r>
    </w:p>
    <w:p w14:paraId="6E016817" w14:textId="416A4513" w:rsidR="00B67D46" w:rsidRPr="00B67D46" w:rsidRDefault="00B67D46" w:rsidP="00B67D46">
      <w:pPr>
        <w:spacing w:line="360" w:lineRule="auto"/>
        <w:ind w:left="567" w:right="567"/>
        <w:jc w:val="both"/>
        <w:rPr>
          <w:rFonts w:ascii="Palatino Linotype" w:hAnsi="Palatino Linotype" w:cs="Tahoma"/>
          <w:i/>
          <w:szCs w:val="22"/>
        </w:rPr>
      </w:pPr>
      <w:r w:rsidRPr="00B67D46">
        <w:rPr>
          <w:rFonts w:ascii="Palatino Linotype" w:hAnsi="Palatino Linotype" w:cs="Tahoma"/>
          <w:b/>
          <w:i/>
          <w:szCs w:val="22"/>
        </w:rPr>
        <w:t>XVIII</w:t>
      </w:r>
      <w:r w:rsidRPr="00B67D46">
        <w:rPr>
          <w:rFonts w:ascii="Palatino Linotype" w:hAnsi="Palatino Linotype" w:cs="Tahoma"/>
          <w:i/>
          <w:szCs w:val="22"/>
        </w:rPr>
        <w:t>.</w:t>
      </w:r>
      <w:r>
        <w:rPr>
          <w:rFonts w:ascii="Palatino Linotype" w:hAnsi="Palatino Linotype" w:cs="Tahoma"/>
          <w:i/>
          <w:szCs w:val="22"/>
        </w:rPr>
        <w:t xml:space="preserve"> </w:t>
      </w:r>
      <w:r w:rsidRPr="00B67D46">
        <w:rPr>
          <w:rFonts w:ascii="Palatino Linotype" w:hAnsi="Palatino Linotype" w:cs="Tahoma"/>
          <w:i/>
          <w:szCs w:val="22"/>
        </w:rPr>
        <w:t>Las demás que se desprendan de la presente Ley y las disposiciones jurídicas aplicables, que</w:t>
      </w:r>
      <w:r>
        <w:rPr>
          <w:rFonts w:ascii="Palatino Linotype" w:hAnsi="Palatino Linotype" w:cs="Tahoma"/>
          <w:i/>
          <w:szCs w:val="22"/>
        </w:rPr>
        <w:t xml:space="preserve"> </w:t>
      </w:r>
      <w:r w:rsidRPr="00B67D46">
        <w:rPr>
          <w:rFonts w:ascii="Palatino Linotype" w:hAnsi="Palatino Linotype" w:cs="Tahoma"/>
          <w:i/>
          <w:szCs w:val="22"/>
        </w:rPr>
        <w:t>faciliten el acceso a la información"</w:t>
      </w:r>
    </w:p>
    <w:p w14:paraId="22A47A51" w14:textId="77777777" w:rsidR="00707833" w:rsidRDefault="00707833" w:rsidP="00B67D46">
      <w:pPr>
        <w:spacing w:line="360" w:lineRule="auto"/>
        <w:ind w:left="567" w:right="567"/>
        <w:jc w:val="both"/>
        <w:rPr>
          <w:rFonts w:ascii="Palatino Linotype" w:hAnsi="Palatino Linotype" w:cs="Tahoma"/>
          <w:szCs w:val="22"/>
        </w:rPr>
      </w:pPr>
    </w:p>
    <w:p w14:paraId="43173125" w14:textId="284CBABC" w:rsidR="00B67D46" w:rsidRDefault="00707833" w:rsidP="00B67D46">
      <w:pPr>
        <w:spacing w:line="360" w:lineRule="auto"/>
        <w:ind w:left="567" w:right="567"/>
        <w:jc w:val="both"/>
        <w:rPr>
          <w:rFonts w:ascii="Palatino Linotype" w:hAnsi="Palatino Linotype" w:cs="Tahoma"/>
          <w:szCs w:val="22"/>
        </w:rPr>
      </w:pPr>
      <w:r w:rsidRPr="00707833">
        <w:rPr>
          <w:rFonts w:ascii="Palatino Linotype" w:hAnsi="Palatino Linotype" w:cs="Tahoma"/>
          <w:szCs w:val="22"/>
        </w:rPr>
        <w:t xml:space="preserve">Artículo 94 de la </w:t>
      </w:r>
      <w:r w:rsidRPr="00707833">
        <w:rPr>
          <w:rFonts w:ascii="Palatino Linotype" w:hAnsi="Palatino Linotype" w:cs="Tahoma"/>
          <w:b/>
          <w:szCs w:val="22"/>
        </w:rPr>
        <w:t>Ley de Protección de Datos Personales en Posesión de los Sujetos Obligados del Estado de México y Municipios</w:t>
      </w:r>
      <w:r w:rsidRPr="00707833">
        <w:rPr>
          <w:rFonts w:ascii="Palatino Linotype" w:hAnsi="Palatino Linotype" w:cs="Tahoma"/>
          <w:szCs w:val="22"/>
        </w:rPr>
        <w:t>:</w:t>
      </w:r>
    </w:p>
    <w:p w14:paraId="3D70B071" w14:textId="77777777" w:rsidR="00707833" w:rsidRPr="00AA73E1" w:rsidRDefault="00707833" w:rsidP="00707833">
      <w:pPr>
        <w:spacing w:line="360" w:lineRule="auto"/>
        <w:ind w:left="567" w:right="567"/>
        <w:jc w:val="both"/>
        <w:rPr>
          <w:rFonts w:ascii="Palatino Linotype" w:hAnsi="Palatino Linotype" w:cs="Tahoma"/>
          <w:i/>
          <w:szCs w:val="22"/>
          <w:lang w:val="es-MX"/>
        </w:rPr>
      </w:pPr>
    </w:p>
    <w:p w14:paraId="71EFE862" w14:textId="77777777"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i/>
          <w:szCs w:val="22"/>
        </w:rPr>
        <w:t>"Cada sujeto obligado contará con un Comité de Transparencia, el cual se integrará y funcionará conforme a lo dispuesto en la Ley General de Transparencia y Acceso a la Información Pública y la Ley de Transparencia.</w:t>
      </w:r>
    </w:p>
    <w:p w14:paraId="0E2FA7F5" w14:textId="1E99A5D5" w:rsidR="00707833" w:rsidRPr="00707833" w:rsidRDefault="00707833" w:rsidP="00707833">
      <w:pPr>
        <w:spacing w:line="360" w:lineRule="auto"/>
        <w:ind w:left="567" w:right="567"/>
        <w:jc w:val="both"/>
        <w:rPr>
          <w:rFonts w:ascii="Palatino Linotype" w:hAnsi="Palatino Linotype" w:cs="Tahoma"/>
          <w:i/>
          <w:szCs w:val="22"/>
        </w:rPr>
      </w:pPr>
    </w:p>
    <w:p w14:paraId="437A0D9A" w14:textId="5659DBE7"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i/>
          <w:szCs w:val="22"/>
        </w:rPr>
        <w:t>El Comité de Transparencia será la autoridad máxima en materia de protección de datos Personales.</w:t>
      </w:r>
    </w:p>
    <w:p w14:paraId="554B1BEC" w14:textId="53BCFB84"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i/>
          <w:szCs w:val="22"/>
        </w:rPr>
        <w:t>Para los efectos de la presente Ley y sin perjuicio de otras funciones que le sean conferidas en la normatividad que le resulte aplicable, el Comité de Transparencia  tendrá las atribuciones siguientes:</w:t>
      </w:r>
    </w:p>
    <w:p w14:paraId="578AC12B" w14:textId="77777777" w:rsidR="00707833" w:rsidRPr="00707833" w:rsidRDefault="00707833" w:rsidP="00B67D46">
      <w:pPr>
        <w:spacing w:line="360" w:lineRule="auto"/>
        <w:ind w:left="567" w:right="567"/>
        <w:jc w:val="both"/>
        <w:rPr>
          <w:rFonts w:ascii="Palatino Linotype" w:hAnsi="Palatino Linotype" w:cs="Tahoma"/>
          <w:i/>
          <w:szCs w:val="22"/>
        </w:rPr>
      </w:pPr>
    </w:p>
    <w:p w14:paraId="305B1405" w14:textId="77777777"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l</w:t>
      </w:r>
      <w:r w:rsidRPr="00707833">
        <w:rPr>
          <w:rFonts w:ascii="Palatino Linotype" w:hAnsi="Palatino Linotype" w:cs="Tahoma"/>
          <w:i/>
          <w:szCs w:val="22"/>
        </w:rPr>
        <w:t>. 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14:paraId="311BD736" w14:textId="7CFAA615"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i/>
          <w:szCs w:val="22"/>
        </w:rPr>
        <w:lastRenderedPageBreak/>
        <w:t>II. Instituir, en su caso, procedimientos internos para asegurar la mayor eficiencia en la gestión de las solicitudes para el ejercicio de los derechos ARCO.</w:t>
      </w:r>
    </w:p>
    <w:p w14:paraId="141C12D4" w14:textId="5BE58F81"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III.</w:t>
      </w:r>
      <w:r w:rsidRPr="00707833">
        <w:rPr>
          <w:rFonts w:ascii="Palatino Linotype" w:hAnsi="Palatino Linotype" w:cs="Tahoma"/>
          <w:i/>
          <w:szCs w:val="22"/>
        </w:rPr>
        <w:t xml:space="preserve"> Confirmar, modificar o revocar las determinaciones en las que se declare la inexistencia de los datos personales, o se niegue por cualquier causa el ejercicio de alguno de los derechos ARCO.</w:t>
      </w:r>
    </w:p>
    <w:p w14:paraId="140B0B30" w14:textId="0ED3B7CE"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IV</w:t>
      </w:r>
      <w:r w:rsidRPr="00707833">
        <w:rPr>
          <w:rFonts w:ascii="Palatino Linotype" w:hAnsi="Palatino Linotype" w:cs="Tahoma"/>
          <w:i/>
          <w:szCs w:val="22"/>
        </w:rPr>
        <w:t>. Establecer y supervisar la aplicación de criterios específicos que resulten necesarios para una mejor observancia de la presente Ley y en aquellas disposiciones que resulten aplicables en la materia.</w:t>
      </w:r>
    </w:p>
    <w:p w14:paraId="06B8DE73" w14:textId="6B3F0418"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V.</w:t>
      </w:r>
      <w:r w:rsidRPr="00707833">
        <w:rPr>
          <w:rFonts w:ascii="Palatino Linotype" w:hAnsi="Palatino Linotype" w:cs="Tahoma"/>
          <w:i/>
          <w:szCs w:val="22"/>
        </w:rPr>
        <w:t xml:space="preserve"> Supervisar, en coordinación con las áreas o unidades administrativas competentes, el cumplimiento de las medidas, controles y acciones previstas en el documento de seguridad.</w:t>
      </w:r>
    </w:p>
    <w:p w14:paraId="7D3A831E" w14:textId="77777777"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VI</w:t>
      </w:r>
      <w:r w:rsidRPr="00707833">
        <w:rPr>
          <w:rFonts w:ascii="Palatino Linotype" w:hAnsi="Palatino Linotype" w:cs="Tahoma"/>
          <w:i/>
          <w:szCs w:val="22"/>
        </w:rPr>
        <w:t>. Dar seguimiento y cumplimiento a las resoluciones emitidas por el Instituto.</w:t>
      </w:r>
    </w:p>
    <w:p w14:paraId="4AF3A05E" w14:textId="1E2B2C63"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VII</w:t>
      </w:r>
      <w:r w:rsidRPr="00707833">
        <w:rPr>
          <w:rFonts w:ascii="Palatino Linotype" w:hAnsi="Palatino Linotype" w:cs="Tahoma"/>
          <w:i/>
          <w:szCs w:val="22"/>
        </w:rPr>
        <w:t>. Establecer programas de capacitación y actualización para los servidores públicos en materia de protección de datos personales.</w:t>
      </w:r>
    </w:p>
    <w:p w14:paraId="7F5C1CCC" w14:textId="2BB2D591" w:rsidR="00707833"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VIII.</w:t>
      </w:r>
      <w:r w:rsidRPr="00707833">
        <w:rPr>
          <w:rFonts w:ascii="Palatino Linotype" w:hAnsi="Palatino Linotype" w:cs="Tahoma"/>
          <w:i/>
          <w:szCs w:val="22"/>
        </w:rPr>
        <w:t xml:space="preserve"> 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w:t>
      </w:r>
    </w:p>
    <w:p w14:paraId="6BC542FD" w14:textId="06B7EEDA" w:rsidR="00B67D46" w:rsidRPr="00707833" w:rsidRDefault="00707833" w:rsidP="00707833">
      <w:pPr>
        <w:spacing w:line="360" w:lineRule="auto"/>
        <w:ind w:left="567" w:right="567"/>
        <w:jc w:val="both"/>
        <w:rPr>
          <w:rFonts w:ascii="Palatino Linotype" w:hAnsi="Palatino Linotype" w:cs="Tahoma"/>
          <w:i/>
          <w:szCs w:val="22"/>
        </w:rPr>
      </w:pPr>
      <w:r w:rsidRPr="00707833">
        <w:rPr>
          <w:rFonts w:ascii="Palatino Linotype" w:hAnsi="Palatino Linotype" w:cs="Tahoma"/>
          <w:b/>
          <w:i/>
          <w:szCs w:val="22"/>
        </w:rPr>
        <w:t>IX.</w:t>
      </w:r>
      <w:r w:rsidRPr="00707833">
        <w:rPr>
          <w:rFonts w:ascii="Palatino Linotype" w:hAnsi="Palatino Linotype" w:cs="Tahoma"/>
          <w:i/>
          <w:szCs w:val="22"/>
        </w:rPr>
        <w:t xml:space="preserve"> Podrá proponer políticas públicas para la promoción de La cultura en la materia".</w:t>
      </w:r>
    </w:p>
    <w:p w14:paraId="5787F53F" w14:textId="77777777" w:rsidR="00707833" w:rsidRDefault="00707833" w:rsidP="00707833">
      <w:pPr>
        <w:spacing w:line="360" w:lineRule="auto"/>
        <w:ind w:left="567" w:right="567"/>
        <w:jc w:val="both"/>
        <w:rPr>
          <w:rFonts w:ascii="Palatino Linotype" w:hAnsi="Palatino Linotype" w:cs="Tahoma"/>
          <w:szCs w:val="22"/>
        </w:rPr>
      </w:pPr>
    </w:p>
    <w:p w14:paraId="15D84523" w14:textId="6F3A1510" w:rsidR="00707833" w:rsidRDefault="00707833" w:rsidP="00707833">
      <w:pPr>
        <w:spacing w:line="360" w:lineRule="auto"/>
        <w:ind w:left="567" w:right="567"/>
        <w:jc w:val="both"/>
        <w:rPr>
          <w:rFonts w:ascii="Palatino Linotype" w:hAnsi="Palatino Linotype" w:cs="Tahoma"/>
          <w:szCs w:val="22"/>
        </w:rPr>
      </w:pPr>
      <w:r w:rsidRPr="00707833">
        <w:rPr>
          <w:rFonts w:ascii="Palatino Linotype" w:hAnsi="Palatino Linotype" w:cs="Tahoma"/>
          <w:szCs w:val="22"/>
        </w:rPr>
        <w:t xml:space="preserve">En resumen, los motivos o razones de inconformidad vertidos por el recurrente se consideran </w:t>
      </w:r>
      <w:r w:rsidRPr="00707833">
        <w:rPr>
          <w:rFonts w:ascii="Palatino Linotype" w:hAnsi="Palatino Linotype" w:cs="Tahoma"/>
          <w:b/>
          <w:szCs w:val="22"/>
        </w:rPr>
        <w:t>infundados, inoperantes e inatendibles</w:t>
      </w:r>
      <w:r w:rsidRPr="00707833">
        <w:rPr>
          <w:rFonts w:ascii="Palatino Linotype" w:hAnsi="Palatino Linotype" w:cs="Tahoma"/>
          <w:szCs w:val="22"/>
        </w:rPr>
        <w:t xml:space="preserve"> por todo lo argumentado anteriormente, de ahí que, resulte procedente </w:t>
      </w:r>
      <w:r w:rsidRPr="00707833">
        <w:rPr>
          <w:rFonts w:ascii="Palatino Linotype" w:hAnsi="Palatino Linotype" w:cs="Tahoma"/>
          <w:b/>
          <w:szCs w:val="22"/>
        </w:rPr>
        <w:t>CONFIRMAR</w:t>
      </w:r>
      <w:r w:rsidRPr="00707833">
        <w:rPr>
          <w:rFonts w:ascii="Palatino Linotype" w:hAnsi="Palatino Linotype" w:cs="Tahoma"/>
          <w:szCs w:val="22"/>
        </w:rPr>
        <w:t xml:space="preserve"> la respuesta otorgada a la solicitud de acceso a la información pública en estudio.</w:t>
      </w:r>
    </w:p>
    <w:p w14:paraId="0142E080" w14:textId="5F365992" w:rsidR="00281F48" w:rsidRPr="00B67D46" w:rsidRDefault="00B67D46" w:rsidP="00B67D46">
      <w:pPr>
        <w:spacing w:line="360" w:lineRule="auto"/>
        <w:ind w:left="567" w:right="567"/>
        <w:jc w:val="both"/>
        <w:rPr>
          <w:rFonts w:ascii="Palatino Linotype" w:hAnsi="Palatino Linotype" w:cs="Tahoma"/>
          <w:szCs w:val="22"/>
        </w:rPr>
      </w:pPr>
      <w:r>
        <w:rPr>
          <w:rFonts w:ascii="Palatino Linotype" w:hAnsi="Palatino Linotype" w:cs="Tahoma"/>
          <w:szCs w:val="22"/>
        </w:rPr>
        <w:t>.</w:t>
      </w:r>
      <w:r w:rsidR="006877F1">
        <w:rPr>
          <w:rFonts w:ascii="Palatino Linotype" w:hAnsi="Palatino Linotype" w:cs="Tahoma"/>
          <w:szCs w:val="22"/>
        </w:rPr>
        <w:t>..”</w:t>
      </w:r>
      <w:r w:rsidR="00281F48">
        <w:rPr>
          <w:rFonts w:ascii="Palatino Linotype" w:hAnsi="Palatino Linotype" w:cs="Tahoma"/>
          <w:sz w:val="22"/>
          <w:szCs w:val="22"/>
        </w:rPr>
        <w:t>.</w:t>
      </w:r>
    </w:p>
    <w:p w14:paraId="099893A8" w14:textId="77777777" w:rsidR="00707833" w:rsidRDefault="00707833" w:rsidP="006877F1">
      <w:pPr>
        <w:spacing w:line="360" w:lineRule="auto"/>
        <w:jc w:val="both"/>
        <w:rPr>
          <w:rFonts w:ascii="Palatino Linotype" w:hAnsi="Palatino Linotype" w:cs="Tahoma"/>
          <w:b/>
          <w:sz w:val="22"/>
          <w:szCs w:val="22"/>
        </w:rPr>
      </w:pPr>
    </w:p>
    <w:p w14:paraId="0D8104E9" w14:textId="790A18C1" w:rsidR="006877F1" w:rsidRDefault="00C77CBF" w:rsidP="006877F1">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00222FCE" w:rsidRPr="00AF6580">
        <w:rPr>
          <w:rFonts w:ascii="Palatino Linotype" w:hAnsi="Palatino Linotype" w:cs="Tahoma"/>
          <w:b/>
          <w:sz w:val="22"/>
          <w:szCs w:val="22"/>
        </w:rPr>
        <w:t>) Vista de</w:t>
      </w:r>
      <w:r w:rsidR="007A2F42">
        <w:rPr>
          <w:rFonts w:ascii="Palatino Linotype" w:hAnsi="Palatino Linotype" w:cs="Tahoma"/>
          <w:b/>
          <w:sz w:val="22"/>
          <w:szCs w:val="22"/>
        </w:rPr>
        <w:t>l</w:t>
      </w:r>
      <w:r w:rsidR="00222FCE" w:rsidRPr="00AF6580">
        <w:rPr>
          <w:rFonts w:ascii="Palatino Linotype" w:hAnsi="Palatino Linotype" w:cs="Tahoma"/>
          <w:b/>
          <w:sz w:val="22"/>
          <w:szCs w:val="22"/>
        </w:rPr>
        <w:t xml:space="preserve"> Informe Justificado: </w:t>
      </w:r>
      <w:r w:rsidR="006877F1">
        <w:rPr>
          <w:rFonts w:ascii="Palatino Linotype" w:eastAsia="Calibri" w:hAnsi="Palatino Linotype" w:cs="Tahoma"/>
          <w:bCs/>
          <w:sz w:val="22"/>
          <w:szCs w:val="22"/>
          <w:lang w:eastAsia="en-US"/>
        </w:rPr>
        <w:t>Con</w:t>
      </w:r>
      <w:r>
        <w:rPr>
          <w:rFonts w:ascii="Palatino Linotype" w:eastAsia="Calibri" w:hAnsi="Palatino Linotype" w:cs="Tahoma"/>
          <w:bCs/>
          <w:sz w:val="22"/>
          <w:szCs w:val="22"/>
          <w:lang w:eastAsia="en-US"/>
        </w:rPr>
        <w:t xml:space="preserve"> fecha </w:t>
      </w:r>
      <w:r w:rsidR="00707833">
        <w:rPr>
          <w:rFonts w:ascii="Palatino Linotype" w:eastAsia="Calibri" w:hAnsi="Palatino Linotype" w:cs="Tahoma"/>
          <w:bCs/>
          <w:sz w:val="22"/>
          <w:szCs w:val="22"/>
          <w:lang w:eastAsia="en-US"/>
        </w:rPr>
        <w:t xml:space="preserve">veintiuno </w:t>
      </w:r>
      <w:r>
        <w:rPr>
          <w:rFonts w:ascii="Palatino Linotype" w:eastAsia="Calibri" w:hAnsi="Palatino Linotype" w:cs="Tahoma"/>
          <w:bCs/>
          <w:sz w:val="22"/>
          <w:szCs w:val="22"/>
          <w:lang w:eastAsia="en-US"/>
        </w:rPr>
        <w:t>de enero de dos mil diecinueve</w:t>
      </w:r>
      <w:r w:rsidR="006877F1">
        <w:rPr>
          <w:rFonts w:ascii="Palatino Linotype" w:eastAsia="Calibri" w:hAnsi="Palatino Linotype" w:cs="Tahoma"/>
          <w:bCs/>
          <w:sz w:val="22"/>
          <w:szCs w:val="22"/>
          <w:lang w:eastAsia="en-US"/>
        </w:rPr>
        <w:t xml:space="preserve">, con fundamento en el artículo 185, fracción III, de la Ley de Transparencia y Acceso a la Información Pública del Estado de México y Municipios, el Comisionado Ponente acordó dar </w:t>
      </w:r>
      <w:r w:rsidR="006877F1">
        <w:rPr>
          <w:rFonts w:ascii="Palatino Linotype" w:eastAsia="Calibri" w:hAnsi="Palatino Linotype" w:cs="Tahoma"/>
          <w:bCs/>
          <w:sz w:val="22"/>
          <w:szCs w:val="22"/>
          <w:lang w:eastAsia="en-US"/>
        </w:rPr>
        <w:lastRenderedPageBreak/>
        <w:t xml:space="preserve">vista del Informe Justificado presentado del Recurso de Revisión </w:t>
      </w:r>
      <w:r>
        <w:rPr>
          <w:rFonts w:ascii="Palatino Linotype" w:hAnsi="Palatino Linotype" w:cs="Tahoma"/>
          <w:b/>
          <w:bCs/>
          <w:sz w:val="22"/>
          <w:szCs w:val="22"/>
        </w:rPr>
        <w:t>04</w:t>
      </w:r>
      <w:r w:rsidR="00707833">
        <w:rPr>
          <w:rFonts w:ascii="Palatino Linotype" w:hAnsi="Palatino Linotype" w:cs="Tahoma"/>
          <w:b/>
          <w:bCs/>
          <w:sz w:val="22"/>
          <w:szCs w:val="22"/>
        </w:rPr>
        <w:t>53</w:t>
      </w:r>
      <w:r>
        <w:rPr>
          <w:rFonts w:ascii="Palatino Linotype" w:hAnsi="Palatino Linotype" w:cs="Tahoma"/>
          <w:b/>
          <w:bCs/>
          <w:sz w:val="22"/>
          <w:szCs w:val="22"/>
        </w:rPr>
        <w:t>6</w:t>
      </w:r>
      <w:r w:rsidR="006877F1" w:rsidRPr="00D60991">
        <w:rPr>
          <w:rFonts w:ascii="Palatino Linotype" w:hAnsi="Palatino Linotype" w:cs="Tahoma"/>
          <w:b/>
          <w:bCs/>
          <w:sz w:val="22"/>
          <w:szCs w:val="22"/>
        </w:rPr>
        <w:t>/INFOEM/IP/RR</w:t>
      </w:r>
      <w:r w:rsidR="006877F1">
        <w:rPr>
          <w:rFonts w:ascii="Palatino Linotype" w:hAnsi="Palatino Linotype" w:cs="Tahoma"/>
          <w:b/>
          <w:bCs/>
          <w:sz w:val="22"/>
          <w:szCs w:val="22"/>
        </w:rPr>
        <w:t>/2018</w:t>
      </w:r>
      <w:r w:rsidR="006877F1">
        <w:rPr>
          <w:rFonts w:ascii="Palatino Linotype" w:eastAsia="Calibri" w:hAnsi="Palatino Linotype" w:cs="Tahoma"/>
          <w:bCs/>
          <w:sz w:val="22"/>
          <w:szCs w:val="22"/>
          <w:lang w:eastAsia="en-US"/>
        </w:rPr>
        <w:t xml:space="preserve">, así como de las constancias que lo acompañan, presentadas por el Sujeto Obligado, al </w:t>
      </w:r>
      <w:r w:rsidR="007C48BF">
        <w:rPr>
          <w:rFonts w:ascii="Palatino Linotype" w:eastAsia="Calibri" w:hAnsi="Palatino Linotype" w:cs="Tahoma"/>
          <w:bCs/>
          <w:sz w:val="22"/>
          <w:szCs w:val="22"/>
          <w:lang w:eastAsia="en-US"/>
        </w:rPr>
        <w:t>Recurrente</w:t>
      </w:r>
      <w:r w:rsidR="006877F1">
        <w:rPr>
          <w:rFonts w:ascii="Palatino Linotype" w:eastAsia="Calibri" w:hAnsi="Palatino Linotype" w:cs="Tahoma"/>
          <w:bCs/>
          <w:sz w:val="22"/>
          <w:szCs w:val="22"/>
          <w:lang w:eastAsia="en-US"/>
        </w:rPr>
        <w:t xml:space="preserve">, para que en un término no mayor a tres días hábiles, contados a partir del día hábil siguiente a la notificación de las mismas, manifestara lo que a su derecho conviniera. </w:t>
      </w:r>
    </w:p>
    <w:p w14:paraId="14725780" w14:textId="5BF2D277" w:rsidR="006449D5" w:rsidRDefault="006449D5" w:rsidP="007479DD">
      <w:pPr>
        <w:spacing w:line="360" w:lineRule="auto"/>
        <w:jc w:val="both"/>
        <w:rPr>
          <w:rFonts w:ascii="Palatino Linotype" w:hAnsi="Palatino Linotype" w:cs="Tahoma"/>
          <w:sz w:val="22"/>
          <w:szCs w:val="22"/>
        </w:rPr>
      </w:pPr>
    </w:p>
    <w:p w14:paraId="2F604C32" w14:textId="31B330FC" w:rsidR="00281F48" w:rsidRDefault="00C77CBF"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w:t>
      </w:r>
      <w:r>
        <w:rPr>
          <w:rFonts w:ascii="Palatino Linotype" w:hAnsi="Palatino Linotype" w:cs="Tahoma"/>
          <w:sz w:val="22"/>
          <w:szCs w:val="22"/>
        </w:rPr>
        <w:t xml:space="preserve"> </w:t>
      </w:r>
      <w:r w:rsidR="00707833">
        <w:rPr>
          <w:rFonts w:ascii="Palatino Linotype" w:hAnsi="Palatino Linotype" w:cs="Tahoma"/>
          <w:sz w:val="22"/>
          <w:szCs w:val="22"/>
        </w:rPr>
        <w:t xml:space="preserve">treinta </w:t>
      </w:r>
      <w:r>
        <w:rPr>
          <w:rFonts w:ascii="Palatino Linotype" w:hAnsi="Palatino Linotype" w:cs="Tahoma"/>
          <w:sz w:val="22"/>
          <w:szCs w:val="22"/>
        </w:rPr>
        <w:t>de enero de dos mil diecinueve</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(SAIMEX)</w:t>
      </w:r>
      <w:r w:rsidR="00DF464D">
        <w:rPr>
          <w:rFonts w:ascii="Palatino Linotype" w:hAnsi="Palatino Linotype" w:cs="Tahoma"/>
          <w:sz w:val="22"/>
          <w:szCs w:val="22"/>
        </w:rPr>
        <w:t xml:space="preserv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 xml:space="preserve">para resolver el </w:t>
      </w:r>
      <w:r w:rsidR="00754412">
        <w:rPr>
          <w:rFonts w:ascii="Palatino Linotype" w:hAnsi="Palatino Linotype" w:cs="Tahoma"/>
          <w:sz w:val="22"/>
          <w:szCs w:val="22"/>
        </w:rPr>
        <w:t>R</w:t>
      </w:r>
      <w:r w:rsidR="00DF464D">
        <w:rPr>
          <w:rFonts w:ascii="Palatino Linotype" w:hAnsi="Palatino Linotype" w:cs="Tahoma"/>
          <w:sz w:val="22"/>
          <w:szCs w:val="22"/>
        </w:rPr>
        <w:t xml:space="preserve">ecurso de </w:t>
      </w:r>
      <w:r w:rsidR="00754412">
        <w:rPr>
          <w:rFonts w:ascii="Palatino Linotype" w:hAnsi="Palatino Linotype" w:cs="Tahoma"/>
          <w:sz w:val="22"/>
          <w:szCs w:val="22"/>
        </w:rPr>
        <w:t>R</w:t>
      </w:r>
      <w:r w:rsidR="00DF464D">
        <w:rPr>
          <w:rFonts w:ascii="Palatino Linotype" w:hAnsi="Palatino Linotype" w:cs="Tahoma"/>
          <w:sz w:val="22"/>
          <w:szCs w:val="22"/>
        </w:rPr>
        <w:t>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14:paraId="6CA8D538" w14:textId="77777777" w:rsidR="006449D5" w:rsidRDefault="006449D5" w:rsidP="007479DD">
      <w:pPr>
        <w:spacing w:line="360" w:lineRule="auto"/>
        <w:jc w:val="both"/>
        <w:rPr>
          <w:rFonts w:ascii="Palatino Linotype" w:hAnsi="Palatino Linotype" w:cs="Tahoma"/>
          <w:sz w:val="22"/>
          <w:szCs w:val="22"/>
        </w:rPr>
      </w:pPr>
    </w:p>
    <w:p w14:paraId="7E98E86B" w14:textId="35A09AFB" w:rsidR="00B31222" w:rsidRPr="00AF6580" w:rsidRDefault="00C77CBF" w:rsidP="007479DD">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w:t>
      </w:r>
      <w:r>
        <w:rPr>
          <w:rFonts w:ascii="Palatino Linotype" w:hAnsi="Palatino Linotype" w:cs="Tahoma"/>
          <w:sz w:val="22"/>
          <w:szCs w:val="22"/>
        </w:rPr>
        <w:t xml:space="preserve">El </w:t>
      </w:r>
      <w:r w:rsidR="00707833">
        <w:rPr>
          <w:rFonts w:ascii="Palatino Linotype" w:hAnsi="Palatino Linotype" w:cs="Tahoma"/>
          <w:sz w:val="22"/>
          <w:szCs w:val="22"/>
        </w:rPr>
        <w:t xml:space="preserve">treinta y uno </w:t>
      </w:r>
      <w:r>
        <w:rPr>
          <w:rFonts w:ascii="Palatino Linotype" w:hAnsi="Palatino Linotype" w:cs="Tahoma"/>
          <w:sz w:val="22"/>
          <w:szCs w:val="22"/>
        </w:rPr>
        <w:t>de enero</w:t>
      </w:r>
      <w:r w:rsidR="00994299" w:rsidRPr="00693B2B">
        <w:rPr>
          <w:rFonts w:ascii="Palatino Linotype" w:hAnsi="Palatino Linotype" w:cs="Tahoma"/>
          <w:sz w:val="22"/>
          <w:szCs w:val="22"/>
        </w:rPr>
        <w:t xml:space="preserve"> </w:t>
      </w:r>
      <w:r>
        <w:rPr>
          <w:rFonts w:ascii="Palatino Linotype" w:hAnsi="Palatino Linotype" w:cs="Tahoma"/>
          <w:sz w:val="22"/>
          <w:szCs w:val="22"/>
        </w:rPr>
        <w:t>de dos mil diecinueve</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Pr>
          <w:rFonts w:ascii="Palatino Linotype" w:hAnsi="Palatino Linotype" w:cs="Tahoma"/>
          <w:sz w:val="22"/>
          <w:szCs w:val="22"/>
        </w:rPr>
        <w:t xml:space="preserve">. </w:t>
      </w:r>
    </w:p>
    <w:p w14:paraId="4B195D83" w14:textId="77777777" w:rsidR="00B31222" w:rsidRPr="00AF6580" w:rsidRDefault="00B31222" w:rsidP="007479DD">
      <w:pPr>
        <w:spacing w:line="360" w:lineRule="auto"/>
        <w:jc w:val="both"/>
        <w:rPr>
          <w:rFonts w:ascii="Palatino Linotype" w:hAnsi="Palatino Linotype" w:cs="Tahoma"/>
          <w:b/>
          <w:sz w:val="22"/>
          <w:szCs w:val="22"/>
        </w:rPr>
      </w:pPr>
    </w:p>
    <w:p w14:paraId="2725422F" w14:textId="04AC61EB"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75E9BE7A" w14:textId="77777777" w:rsidR="00832B45" w:rsidRDefault="00832B45" w:rsidP="007479DD">
      <w:pPr>
        <w:spacing w:line="360" w:lineRule="auto"/>
        <w:jc w:val="both"/>
        <w:rPr>
          <w:rFonts w:ascii="Palatino Linotype" w:hAnsi="Palatino Linotype" w:cs="Tahoma"/>
          <w:color w:val="000000"/>
          <w:sz w:val="22"/>
          <w:szCs w:val="22"/>
        </w:rPr>
      </w:pPr>
    </w:p>
    <w:p w14:paraId="72972505" w14:textId="77777777" w:rsidR="00B57FCF" w:rsidRDefault="00B57FCF" w:rsidP="007479DD">
      <w:pPr>
        <w:spacing w:line="360" w:lineRule="auto"/>
        <w:jc w:val="center"/>
        <w:rPr>
          <w:rFonts w:ascii="Palatino Linotype" w:hAnsi="Palatino Linotype" w:cs="Tahoma"/>
          <w:b/>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3275DBE3"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9</w:t>
      </w:r>
      <w:r w:rsidR="00C77CBF">
        <w:rPr>
          <w:rFonts w:ascii="Palatino Linotype" w:hAnsi="Palatino Linotype" w:cs="Tahoma"/>
          <w:sz w:val="22"/>
          <w:szCs w:val="22"/>
        </w:rPr>
        <w:t>°</w:t>
      </w:r>
      <w:r w:rsidRPr="00AF6580">
        <w:rPr>
          <w:rFonts w:ascii="Palatino Linotype" w:hAnsi="Palatino Linotype" w:cs="Tahoma"/>
          <w:sz w:val="22"/>
          <w:szCs w:val="22"/>
        </w:rPr>
        <w:t xml:space="preserve">,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79F29D98" w14:textId="44BF41C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14:paraId="6B94D789"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ADA9AA" w14:textId="455AB5EA"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 xml:space="preserve">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AF6580">
        <w:rPr>
          <w:rFonts w:ascii="Palatino Linotype" w:eastAsia="Calibri" w:hAnsi="Palatino Linotype" w:cs="Tahoma"/>
          <w:color w:val="000000"/>
          <w:sz w:val="22"/>
          <w:szCs w:val="22"/>
          <w:lang w:eastAsia="es-MX"/>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4C52A0B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8EBA083"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797EE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11D77E"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4576445C" w14:textId="77777777" w:rsidR="00906410" w:rsidRPr="00AF6580" w:rsidRDefault="00906410"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918398C" w14:textId="22848162"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291955">
        <w:rPr>
          <w:rFonts w:ascii="Palatino Linotype" w:eastAsia="Calibri" w:hAnsi="Palatino Linotype" w:cs="Tahoma"/>
          <w:bCs/>
          <w:color w:val="000000"/>
          <w:sz w:val="22"/>
          <w:szCs w:val="22"/>
          <w:lang w:eastAsia="es-ES_tradnl"/>
        </w:rPr>
        <w:t>R</w:t>
      </w:r>
      <w:r w:rsidR="00291955" w:rsidRPr="00AF6580">
        <w:rPr>
          <w:rFonts w:ascii="Palatino Linotype" w:eastAsia="Calibri" w:hAnsi="Palatino Linotype" w:cs="Tahoma"/>
          <w:bCs/>
          <w:color w:val="000000"/>
          <w:sz w:val="22"/>
          <w:szCs w:val="22"/>
          <w:lang w:eastAsia="es-ES_tradnl"/>
        </w:rPr>
        <w:t xml:space="preserve">ecurso </w:t>
      </w:r>
      <w:r w:rsidRPr="00AF6580">
        <w:rPr>
          <w:rFonts w:ascii="Palatino Linotype" w:eastAsia="Calibri" w:hAnsi="Palatino Linotype" w:cs="Tahoma"/>
          <w:bCs/>
          <w:color w:val="000000"/>
          <w:sz w:val="22"/>
          <w:szCs w:val="22"/>
          <w:lang w:eastAsia="es-ES_tradnl"/>
        </w:rPr>
        <w:t xml:space="preserve">de </w:t>
      </w:r>
      <w:r w:rsidR="00291955">
        <w:rPr>
          <w:rFonts w:ascii="Palatino Linotype" w:eastAsia="Calibri" w:hAnsi="Palatino Linotype" w:cs="Tahoma"/>
          <w:bCs/>
          <w:color w:val="000000"/>
          <w:sz w:val="22"/>
          <w:szCs w:val="22"/>
          <w:lang w:eastAsia="es-ES_tradnl"/>
        </w:rPr>
        <w:t>R</w:t>
      </w:r>
      <w:r w:rsidR="00291955" w:rsidRPr="00AF6580">
        <w:rPr>
          <w:rFonts w:ascii="Palatino Linotype" w:eastAsia="Calibri" w:hAnsi="Palatino Linotype" w:cs="Tahoma"/>
          <w:bCs/>
          <w:color w:val="000000"/>
          <w:sz w:val="22"/>
          <w:szCs w:val="22"/>
          <w:lang w:eastAsia="es-ES_tradnl"/>
        </w:rPr>
        <w:t xml:space="preserve">evisión </w:t>
      </w:r>
      <w:r w:rsidRPr="00AF6580">
        <w:rPr>
          <w:rFonts w:ascii="Palatino Linotype" w:eastAsia="Calibri" w:hAnsi="Palatino Linotype" w:cs="Tahoma"/>
          <w:bCs/>
          <w:color w:val="000000"/>
          <w:sz w:val="22"/>
          <w:szCs w:val="22"/>
          <w:lang w:eastAsia="es-ES_tradnl"/>
        </w:rPr>
        <w:t>será sobreseído en todo o en parte, cuando, una vez admitido, se actualice alguno de los siguientes supuestos:</w:t>
      </w:r>
    </w:p>
    <w:p w14:paraId="41647D43"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47263F2B"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1522792"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7C4C26F" w14:textId="410B22F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w:t>
      </w:r>
      <w:r w:rsidR="00E62E3B" w:rsidRPr="00AF6580">
        <w:rPr>
          <w:rFonts w:ascii="Palatino Linotype" w:eastAsia="Calibri" w:hAnsi="Palatino Linotype" w:cs="Tahoma"/>
          <w:bCs/>
          <w:color w:val="000000"/>
          <w:sz w:val="22"/>
          <w:szCs w:val="22"/>
          <w:lang w:eastAsia="es-ES_tradnl"/>
        </w:rPr>
        <w:t>Sujeto Obligado</w:t>
      </w:r>
      <w:r w:rsidRPr="00AF6580">
        <w:rPr>
          <w:rFonts w:ascii="Palatino Linotype" w:eastAsia="Calibri" w:hAnsi="Palatino Linotype" w:cs="Tahoma"/>
          <w:bCs/>
          <w:color w:val="000000"/>
          <w:sz w:val="22"/>
          <w:szCs w:val="22"/>
          <w:lang w:eastAsia="es-ES_tradnl"/>
        </w:rPr>
        <w:t xml:space="preserve"> modifique la respuesta o la revoque, de tal manera que el recurso de revisión quede sin materia;</w:t>
      </w:r>
    </w:p>
    <w:p w14:paraId="02641796"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54E98140" w14:textId="77777777" w:rsidR="005C24D0" w:rsidRPr="00AF6580"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1D105117" w14:textId="77777777" w:rsidR="005C24D0" w:rsidRPr="00AF6580" w:rsidRDefault="005C24D0" w:rsidP="007479DD">
      <w:pPr>
        <w:spacing w:line="360" w:lineRule="auto"/>
        <w:jc w:val="both"/>
        <w:rPr>
          <w:rFonts w:ascii="Palatino Linotype" w:eastAsia="Calibri" w:hAnsi="Palatino Linotype" w:cs="Tahoma"/>
          <w:bCs/>
          <w:color w:val="000000"/>
          <w:sz w:val="22"/>
          <w:szCs w:val="22"/>
          <w:lang w:eastAsia="es-ES_tradnl"/>
        </w:rPr>
      </w:pPr>
    </w:p>
    <w:p w14:paraId="1603ABDC" w14:textId="14A20463" w:rsidR="005C24D0" w:rsidRPr="00AF6580" w:rsidRDefault="002E728F" w:rsidP="007479DD">
      <w:pPr>
        <w:spacing w:line="360" w:lineRule="auto"/>
        <w:jc w:val="both"/>
        <w:rPr>
          <w:rFonts w:ascii="Palatino Linotype" w:hAnsi="Palatino Linotype" w:cs="Tahoma"/>
          <w:sz w:val="22"/>
          <w:szCs w:val="22"/>
        </w:rPr>
      </w:pPr>
      <w:r w:rsidRPr="00AF6580">
        <w:rPr>
          <w:rFonts w:ascii="Palatino Linotype" w:hAnsi="Palatino Linotype" w:cs="Tahoma"/>
          <w:sz w:val="22"/>
          <w:szCs w:val="22"/>
        </w:rPr>
        <w:lastRenderedPageBreak/>
        <w:t>Sin embargo</w:t>
      </w:r>
      <w:r w:rsidR="005C24D0" w:rsidRPr="00AF6580">
        <w:rPr>
          <w:rFonts w:ascii="Palatino Linotype" w:hAnsi="Palatino Linotype" w:cs="Tahoma"/>
          <w:sz w:val="22"/>
          <w:szCs w:val="22"/>
        </w:rPr>
        <w:t xml:space="preserve">, de </w:t>
      </w:r>
      <w:r w:rsidRPr="00AF6580">
        <w:rPr>
          <w:rFonts w:ascii="Palatino Linotype" w:hAnsi="Palatino Linotype" w:cs="Tahoma"/>
          <w:sz w:val="22"/>
          <w:szCs w:val="22"/>
        </w:rPr>
        <w:t>los autos</w:t>
      </w:r>
      <w:r w:rsidR="005C24D0" w:rsidRPr="00AF6580">
        <w:rPr>
          <w:rFonts w:ascii="Palatino Linotype" w:hAnsi="Palatino Linotype" w:cs="Tahoma"/>
          <w:sz w:val="22"/>
          <w:szCs w:val="22"/>
        </w:rPr>
        <w:t xml:space="preserve"> que </w:t>
      </w:r>
      <w:r w:rsidRPr="00AF6580">
        <w:rPr>
          <w:rFonts w:ascii="Palatino Linotype" w:hAnsi="Palatino Linotype" w:cs="Tahoma"/>
          <w:sz w:val="22"/>
          <w:szCs w:val="22"/>
        </w:rPr>
        <w:t>corren agregados</w:t>
      </w:r>
      <w:r w:rsidR="005C24D0" w:rsidRPr="00AF6580">
        <w:rPr>
          <w:rFonts w:ascii="Palatino Linotype" w:hAnsi="Palatino Linotype" w:cs="Tahoma"/>
          <w:sz w:val="22"/>
          <w:szCs w:val="22"/>
        </w:rPr>
        <w:t xml:space="preserve"> al expediente en el que se actúa, no fue posible advertir que el recurrente se hubiera desistido, fallecido </w:t>
      </w:r>
      <w:r w:rsidR="0014199D" w:rsidRPr="00AF6580">
        <w:rPr>
          <w:rFonts w:ascii="Palatino Linotype" w:hAnsi="Palatino Linotype" w:cs="Tahoma"/>
          <w:sz w:val="22"/>
          <w:szCs w:val="22"/>
        </w:rPr>
        <w:t xml:space="preserve">o </w:t>
      </w:r>
      <w:r w:rsidR="005C24D0" w:rsidRPr="00AF6580">
        <w:rPr>
          <w:rFonts w:ascii="Palatino Linotype" w:hAnsi="Palatino Linotype" w:cs="Tahoma"/>
          <w:sz w:val="22"/>
          <w:szCs w:val="22"/>
        </w:rPr>
        <w:t xml:space="preserve">hubiera aparecido una causal de improcedencia durante el trámite del presente </w:t>
      </w:r>
      <w:r w:rsidR="001F6DBF">
        <w:rPr>
          <w:rFonts w:ascii="Palatino Linotype" w:hAnsi="Palatino Linotype" w:cs="Tahoma"/>
          <w:sz w:val="22"/>
          <w:szCs w:val="22"/>
        </w:rPr>
        <w:t>R</w:t>
      </w:r>
      <w:r w:rsidR="001F6DBF" w:rsidRPr="00AF6580">
        <w:rPr>
          <w:rFonts w:ascii="Palatino Linotype" w:hAnsi="Palatino Linotype" w:cs="Tahoma"/>
          <w:sz w:val="22"/>
          <w:szCs w:val="22"/>
        </w:rPr>
        <w:t>ecurso</w:t>
      </w:r>
      <w:r w:rsidR="001F6DBF">
        <w:rPr>
          <w:rFonts w:ascii="Palatino Linotype" w:hAnsi="Palatino Linotype" w:cs="Tahoma"/>
          <w:sz w:val="22"/>
          <w:szCs w:val="22"/>
        </w:rPr>
        <w:t>,</w:t>
      </w:r>
      <w:r w:rsidR="001F6DBF" w:rsidRPr="00AF6580">
        <w:rPr>
          <w:rFonts w:ascii="Palatino Linotype" w:hAnsi="Palatino Linotype" w:cs="Tahoma"/>
          <w:sz w:val="22"/>
          <w:szCs w:val="22"/>
        </w:rPr>
        <w:t xml:space="preserve"> </w:t>
      </w:r>
      <w:r w:rsidR="001F6DBF">
        <w:rPr>
          <w:rFonts w:ascii="Palatino Linotype" w:hAnsi="Palatino Linotype" w:cs="Tahoma"/>
          <w:sz w:val="22"/>
          <w:szCs w:val="22"/>
        </w:rPr>
        <w:t>P</w:t>
      </w:r>
      <w:r w:rsidR="001F6DBF" w:rsidRPr="00AF6580">
        <w:rPr>
          <w:rFonts w:ascii="Palatino Linotype" w:hAnsi="Palatino Linotype" w:cs="Tahoma"/>
          <w:sz w:val="22"/>
          <w:szCs w:val="22"/>
        </w:rPr>
        <w:t xml:space="preserve">or </w:t>
      </w:r>
      <w:r w:rsidR="005C24D0" w:rsidRPr="00AF6580">
        <w:rPr>
          <w:rFonts w:ascii="Palatino Linotype" w:hAnsi="Palatino Linotype" w:cs="Tahoma"/>
          <w:sz w:val="22"/>
          <w:szCs w:val="22"/>
        </w:rPr>
        <w:t>lo que no se actualiza</w:t>
      </w:r>
      <w:r w:rsidR="0014199D" w:rsidRPr="00AF6580">
        <w:rPr>
          <w:rFonts w:ascii="Palatino Linotype" w:hAnsi="Palatino Linotype" w:cs="Tahoma"/>
          <w:sz w:val="22"/>
          <w:szCs w:val="22"/>
        </w:rPr>
        <w:t xml:space="preserve">n dichas </w:t>
      </w:r>
      <w:r w:rsidR="007C48BF">
        <w:rPr>
          <w:rFonts w:ascii="Palatino Linotype" w:hAnsi="Palatino Linotype" w:cs="Tahoma"/>
          <w:sz w:val="22"/>
          <w:szCs w:val="22"/>
        </w:rPr>
        <w:t>causales d</w:t>
      </w:r>
      <w:r w:rsidR="005C24D0" w:rsidRPr="00AF6580">
        <w:rPr>
          <w:rFonts w:ascii="Palatino Linotype" w:hAnsi="Palatino Linotype" w:cs="Tahoma"/>
          <w:sz w:val="22"/>
          <w:szCs w:val="22"/>
        </w:rPr>
        <w:t>e sobreseimiento.</w:t>
      </w:r>
    </w:p>
    <w:p w14:paraId="25E4DBDC" w14:textId="77777777" w:rsidR="005C24D0" w:rsidRPr="00AF6580" w:rsidRDefault="005C24D0" w:rsidP="007479DD">
      <w:pPr>
        <w:spacing w:line="360" w:lineRule="auto"/>
        <w:jc w:val="both"/>
        <w:rPr>
          <w:rFonts w:ascii="Palatino Linotype" w:hAnsi="Palatino Linotype" w:cs="Tahoma"/>
          <w:sz w:val="22"/>
          <w:szCs w:val="22"/>
        </w:rPr>
      </w:pPr>
    </w:p>
    <w:p w14:paraId="18991BA7" w14:textId="4DF86ABC" w:rsidR="0014199D" w:rsidRPr="00AF6580" w:rsidRDefault="00F54C30" w:rsidP="007479DD">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00C8780E" w:rsidRPr="00AF6580">
        <w:rPr>
          <w:rFonts w:ascii="Palatino Linotype" w:hAnsi="Palatino Linotype" w:cs="Tahoma"/>
          <w:sz w:val="22"/>
          <w:szCs w:val="22"/>
        </w:rPr>
        <w:t xml:space="preserve"> la fracción III</w:t>
      </w:r>
      <w:r w:rsidR="00487D0E">
        <w:rPr>
          <w:rFonts w:ascii="Palatino Linotype" w:hAnsi="Palatino Linotype" w:cs="Tahoma"/>
          <w:sz w:val="22"/>
          <w:szCs w:val="22"/>
        </w:rPr>
        <w:t>,</w:t>
      </w:r>
      <w:r w:rsidR="00C8780E" w:rsidRPr="00AF6580">
        <w:rPr>
          <w:rFonts w:ascii="Palatino Linotype" w:hAnsi="Palatino Linotype" w:cs="Tahoma"/>
          <w:sz w:val="22"/>
          <w:szCs w:val="22"/>
        </w:rPr>
        <w:t xml:space="preserve"> del artículo 192</w:t>
      </w:r>
      <w:r w:rsidR="00BA0733">
        <w:rPr>
          <w:rFonts w:ascii="Palatino Linotype" w:hAnsi="Palatino Linotype" w:cs="Tahoma"/>
          <w:sz w:val="22"/>
          <w:szCs w:val="22"/>
        </w:rPr>
        <w:t>,</w:t>
      </w:r>
      <w:r w:rsidR="00C8780E"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00C8780E" w:rsidRPr="00AF6580">
        <w:rPr>
          <w:rFonts w:ascii="Palatino Linotype" w:hAnsi="Palatino Linotype" w:cs="Tahoma"/>
          <w:sz w:val="22"/>
          <w:szCs w:val="22"/>
        </w:rPr>
        <w:t xml:space="preserve"> dispone</w:t>
      </w:r>
      <w:r w:rsidR="0014199D" w:rsidRPr="00AF6580">
        <w:rPr>
          <w:rFonts w:ascii="Palatino Linotype" w:hAnsi="Palatino Linotype" w:cs="Tahoma"/>
          <w:sz w:val="22"/>
          <w:szCs w:val="22"/>
        </w:rPr>
        <w:t xml:space="preserve"> que el </w:t>
      </w:r>
      <w:r w:rsidR="00BA0733">
        <w:rPr>
          <w:rFonts w:ascii="Palatino Linotype" w:hAnsi="Palatino Linotype" w:cs="Tahoma"/>
          <w:sz w:val="22"/>
          <w:szCs w:val="22"/>
        </w:rPr>
        <w:t>R</w:t>
      </w:r>
      <w:r w:rsidR="00BA0733" w:rsidRPr="00AF6580">
        <w:rPr>
          <w:rFonts w:ascii="Palatino Linotype" w:hAnsi="Palatino Linotype" w:cs="Tahoma"/>
          <w:sz w:val="22"/>
          <w:szCs w:val="22"/>
        </w:rPr>
        <w:t xml:space="preserve">ecurso </w:t>
      </w:r>
      <w:r w:rsidR="0014199D" w:rsidRPr="00AF6580">
        <w:rPr>
          <w:rFonts w:ascii="Palatino Linotype" w:hAnsi="Palatino Linotype" w:cs="Tahoma"/>
          <w:sz w:val="22"/>
          <w:szCs w:val="22"/>
        </w:rPr>
        <w:t xml:space="preserve">de </w:t>
      </w:r>
      <w:r w:rsidR="00BA0733">
        <w:rPr>
          <w:rFonts w:ascii="Palatino Linotype" w:hAnsi="Palatino Linotype" w:cs="Tahoma"/>
          <w:sz w:val="22"/>
          <w:szCs w:val="22"/>
        </w:rPr>
        <w:t>R</w:t>
      </w:r>
      <w:r w:rsidR="00BA0733" w:rsidRPr="00AF6580">
        <w:rPr>
          <w:rFonts w:ascii="Palatino Linotype" w:hAnsi="Palatino Linotype" w:cs="Tahoma"/>
          <w:sz w:val="22"/>
          <w:szCs w:val="22"/>
        </w:rPr>
        <w:t xml:space="preserve">evisión </w:t>
      </w:r>
      <w:r w:rsidR="0014199D" w:rsidRPr="00AF6580">
        <w:rPr>
          <w:rFonts w:ascii="Palatino Linotype" w:hAnsi="Palatino Linotype" w:cs="Tahoma"/>
          <w:sz w:val="22"/>
          <w:szCs w:val="22"/>
        </w:rPr>
        <w:t xml:space="preserve">será sobreseído cuando </w:t>
      </w:r>
      <w:r w:rsidR="00C8780E" w:rsidRPr="00AF6580">
        <w:rPr>
          <w:rFonts w:ascii="Palatino Linotype" w:hAnsi="Palatino Linotype" w:cs="Tahoma"/>
          <w:b/>
          <w:sz w:val="22"/>
          <w:szCs w:val="22"/>
        </w:rPr>
        <w:t>el Sujeto Obligado del acto lo modifique de tal manera</w:t>
      </w:r>
      <w:r w:rsidR="00C8780E" w:rsidRPr="00AF6580">
        <w:rPr>
          <w:rFonts w:ascii="Palatino Linotype" w:hAnsi="Palatino Linotype" w:cs="Tahoma"/>
          <w:sz w:val="22"/>
          <w:szCs w:val="22"/>
        </w:rPr>
        <w:t xml:space="preserve"> </w:t>
      </w:r>
      <w:r w:rsidR="00C8780E" w:rsidRPr="00AF6580">
        <w:rPr>
          <w:rFonts w:ascii="Palatino Linotype" w:eastAsia="Calibri" w:hAnsi="Palatino Linotype" w:cs="Tahoma"/>
          <w:b/>
          <w:bCs/>
          <w:color w:val="000000"/>
          <w:sz w:val="22"/>
          <w:szCs w:val="22"/>
          <w:lang w:eastAsia="es-ES_tradnl"/>
        </w:rPr>
        <w:t xml:space="preserve">que </w:t>
      </w:r>
      <w:r w:rsidR="0014199D" w:rsidRPr="00AF6580">
        <w:rPr>
          <w:rFonts w:ascii="Palatino Linotype" w:eastAsia="Calibri" w:hAnsi="Palatino Linotype" w:cs="Tahoma"/>
          <w:b/>
          <w:bCs/>
          <w:color w:val="000000"/>
          <w:sz w:val="22"/>
          <w:szCs w:val="22"/>
          <w:lang w:eastAsia="es-ES_tradnl"/>
        </w:rPr>
        <w:t>quede sin materia</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Ello, toda vez que mediante su Informe J</w:t>
      </w:r>
      <w:r w:rsidR="0014199D" w:rsidRPr="00AF6580">
        <w:rPr>
          <w:rFonts w:ascii="Palatino Linotype" w:eastAsia="Calibri" w:hAnsi="Palatino Linotype" w:cs="Tahoma"/>
          <w:bCs/>
          <w:color w:val="000000"/>
          <w:sz w:val="22"/>
          <w:szCs w:val="22"/>
          <w:lang w:eastAsia="es-ES_tradnl"/>
        </w:rPr>
        <w:t xml:space="preserve">ustificado el </w:t>
      </w:r>
      <w:r w:rsidR="00E62E3B" w:rsidRPr="00AF6580">
        <w:rPr>
          <w:rFonts w:ascii="Palatino Linotype" w:eastAsia="Calibri" w:hAnsi="Palatino Linotype" w:cs="Tahoma"/>
          <w:bCs/>
          <w:color w:val="000000"/>
          <w:sz w:val="22"/>
          <w:szCs w:val="22"/>
          <w:lang w:eastAsia="es-ES_tradnl"/>
        </w:rPr>
        <w:t>Sujeto Obligado</w:t>
      </w:r>
      <w:r w:rsidR="0014199D" w:rsidRPr="00AF6580">
        <w:rPr>
          <w:rFonts w:ascii="Palatino Linotype" w:eastAsia="Calibri" w:hAnsi="Palatino Linotype" w:cs="Tahoma"/>
          <w:bCs/>
          <w:color w:val="000000"/>
          <w:sz w:val="22"/>
          <w:szCs w:val="22"/>
          <w:lang w:eastAsia="es-ES_tradnl"/>
        </w:rPr>
        <w:t xml:space="preserve"> </w:t>
      </w:r>
      <w:r w:rsidR="00A22FEA">
        <w:rPr>
          <w:rFonts w:ascii="Palatino Linotype" w:eastAsia="Calibri" w:hAnsi="Palatino Linotype" w:cs="Tahoma"/>
          <w:bCs/>
          <w:color w:val="000000"/>
          <w:sz w:val="22"/>
          <w:szCs w:val="22"/>
          <w:lang w:eastAsia="es-ES_tradnl"/>
        </w:rPr>
        <w:t>remitió el documen</w:t>
      </w:r>
      <w:r w:rsidR="00C77CBF">
        <w:rPr>
          <w:rFonts w:ascii="Palatino Linotype" w:eastAsia="Calibri" w:hAnsi="Palatino Linotype" w:cs="Tahoma"/>
          <w:bCs/>
          <w:color w:val="000000"/>
          <w:sz w:val="22"/>
          <w:szCs w:val="22"/>
          <w:lang w:eastAsia="es-ES_tradnl"/>
        </w:rPr>
        <w:t>to que contiene la información que modifica su respuesta primigenia</w:t>
      </w:r>
      <w:r w:rsidR="00A22FEA">
        <w:rPr>
          <w:rFonts w:ascii="Palatino Linotype" w:eastAsia="Calibri" w:hAnsi="Palatino Linotype" w:cs="Tahoma"/>
          <w:bCs/>
          <w:color w:val="000000"/>
          <w:sz w:val="22"/>
          <w:szCs w:val="22"/>
          <w:lang w:eastAsia="es-ES_tradnl"/>
        </w:rPr>
        <w:t xml:space="preserve">, misma que es </w:t>
      </w:r>
      <w:r w:rsidR="0014199D" w:rsidRPr="00AF6580">
        <w:rPr>
          <w:rFonts w:ascii="Palatino Linotype" w:eastAsia="Calibri" w:hAnsi="Palatino Linotype" w:cs="Tahoma"/>
          <w:bCs/>
          <w:color w:val="000000"/>
          <w:sz w:val="22"/>
          <w:szCs w:val="22"/>
          <w:lang w:eastAsia="es-ES_tradnl"/>
        </w:rPr>
        <w:t>de</w:t>
      </w:r>
      <w:r w:rsidR="003D34BE" w:rsidRPr="00AF6580">
        <w:rPr>
          <w:rFonts w:ascii="Palatino Linotype" w:eastAsia="Calibri" w:hAnsi="Palatino Linotype" w:cs="Tahoma"/>
          <w:bCs/>
          <w:color w:val="000000"/>
          <w:sz w:val="22"/>
          <w:szCs w:val="22"/>
          <w:lang w:eastAsia="es-ES_tradnl"/>
        </w:rPr>
        <w:t>l</w:t>
      </w:r>
      <w:r w:rsidR="007C48BF">
        <w:rPr>
          <w:rFonts w:ascii="Palatino Linotype" w:eastAsia="Calibri" w:hAnsi="Palatino Linotype" w:cs="Tahoma"/>
          <w:bCs/>
          <w:color w:val="000000"/>
          <w:sz w:val="22"/>
          <w:szCs w:val="22"/>
          <w:lang w:eastAsia="es-ES_tradnl"/>
        </w:rPr>
        <w:t xml:space="preserve"> conocimiento del</w:t>
      </w:r>
      <w:r w:rsidR="0014199D" w:rsidRPr="00AF6580">
        <w:rPr>
          <w:rFonts w:ascii="Palatino Linotype" w:eastAsia="Calibri" w:hAnsi="Palatino Linotype" w:cs="Tahoma"/>
          <w:bCs/>
          <w:color w:val="000000"/>
          <w:sz w:val="22"/>
          <w:szCs w:val="22"/>
          <w:lang w:eastAsia="es-ES_tradnl"/>
        </w:rPr>
        <w:t xml:space="preserve"> </w:t>
      </w:r>
      <w:r w:rsidR="007C48BF" w:rsidRPr="00AF6580">
        <w:rPr>
          <w:rFonts w:ascii="Palatino Linotype" w:eastAsia="Calibri" w:hAnsi="Palatino Linotype" w:cs="Tahoma"/>
          <w:bCs/>
          <w:color w:val="000000"/>
          <w:sz w:val="22"/>
          <w:szCs w:val="22"/>
          <w:lang w:eastAsia="es-ES_tradnl"/>
        </w:rPr>
        <w:t>Recurrente</w:t>
      </w:r>
      <w:r w:rsidR="0014199D" w:rsidRPr="00AF6580">
        <w:rPr>
          <w:rFonts w:ascii="Palatino Linotype" w:eastAsia="Calibri" w:hAnsi="Palatino Linotype" w:cs="Tahoma"/>
          <w:bCs/>
          <w:color w:val="000000"/>
          <w:sz w:val="22"/>
          <w:szCs w:val="22"/>
          <w:lang w:eastAsia="es-ES_tradnl"/>
        </w:rPr>
        <w:t>.</w:t>
      </w:r>
    </w:p>
    <w:p w14:paraId="34AEEEBE" w14:textId="77777777" w:rsidR="0014199D" w:rsidRPr="00AF6580" w:rsidRDefault="0014199D" w:rsidP="007479DD">
      <w:pPr>
        <w:spacing w:line="360" w:lineRule="auto"/>
        <w:jc w:val="both"/>
        <w:rPr>
          <w:rFonts w:ascii="Palatino Linotype" w:eastAsia="Calibri" w:hAnsi="Palatino Linotype" w:cs="Tahoma"/>
          <w:bCs/>
          <w:color w:val="000000"/>
          <w:sz w:val="22"/>
          <w:szCs w:val="22"/>
          <w:lang w:eastAsia="es-ES_tradnl"/>
        </w:rPr>
      </w:pPr>
    </w:p>
    <w:p w14:paraId="5EF0D340" w14:textId="7C6F9BC2" w:rsidR="002E378C" w:rsidRPr="00AF6580" w:rsidRDefault="0014199D" w:rsidP="007479DD">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sidR="00912ABA">
        <w:rPr>
          <w:rFonts w:ascii="Palatino Linotype" w:eastAsia="Calibri" w:hAnsi="Palatino Linotype" w:cs="Tahoma"/>
          <w:bCs/>
          <w:color w:val="000000"/>
          <w:sz w:val="22"/>
          <w:szCs w:val="22"/>
          <w:lang w:eastAsia="es-ES_tradnl"/>
        </w:rPr>
        <w:t>verificar</w:t>
      </w:r>
      <w:r w:rsidR="00912ABA" w:rsidRPr="00AF6580">
        <w:rPr>
          <w:rFonts w:ascii="Palatino Linotype" w:eastAsia="Calibri" w:hAnsi="Palatino Linotype" w:cs="Tahoma"/>
          <w:bCs/>
          <w:color w:val="000000"/>
          <w:sz w:val="22"/>
          <w:szCs w:val="22"/>
          <w:lang w:eastAsia="es-ES_tradnl"/>
        </w:rPr>
        <w:t xml:space="preserve"> </w:t>
      </w:r>
      <w:r w:rsidR="00912ABA">
        <w:rPr>
          <w:rFonts w:ascii="Palatino Linotype" w:eastAsia="Calibri" w:hAnsi="Palatino Linotype" w:cs="Tahoma"/>
          <w:bCs/>
          <w:color w:val="000000"/>
          <w:sz w:val="22"/>
          <w:szCs w:val="22"/>
          <w:lang w:eastAsia="es-ES_tradnl"/>
        </w:rPr>
        <w:t xml:space="preserve">si </w:t>
      </w:r>
      <w:r w:rsidR="00A22FEA">
        <w:rPr>
          <w:rFonts w:ascii="Palatino Linotype" w:eastAsia="Calibri" w:hAnsi="Palatino Linotype" w:cs="Tahoma"/>
          <w:bCs/>
          <w:color w:val="000000"/>
          <w:sz w:val="22"/>
          <w:szCs w:val="22"/>
          <w:lang w:eastAsia="es-ES_tradnl"/>
        </w:rPr>
        <w:t>el acto descrito</w:t>
      </w:r>
      <w:r w:rsidRPr="00AF6580">
        <w:rPr>
          <w:rFonts w:ascii="Palatino Linotype" w:eastAsia="Calibri" w:hAnsi="Palatino Linotype" w:cs="Tahoma"/>
          <w:bCs/>
          <w:color w:val="000000"/>
          <w:sz w:val="22"/>
          <w:szCs w:val="22"/>
          <w:lang w:eastAsia="es-ES_tradnl"/>
        </w:rPr>
        <w:t xml:space="preserve"> deja sin materia el presente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 xml:space="preserve">ecurso </w:t>
      </w:r>
      <w:r w:rsidRPr="00AF6580">
        <w:rPr>
          <w:rFonts w:ascii="Palatino Linotype" w:eastAsia="Calibri" w:hAnsi="Palatino Linotype" w:cs="Tahoma"/>
          <w:bCs/>
          <w:color w:val="000000"/>
          <w:sz w:val="22"/>
          <w:szCs w:val="22"/>
          <w:lang w:eastAsia="es-ES_tradnl"/>
        </w:rPr>
        <w:t xml:space="preserve">de </w:t>
      </w:r>
      <w:r w:rsidR="00912ABA">
        <w:rPr>
          <w:rFonts w:ascii="Palatino Linotype" w:eastAsia="Calibri" w:hAnsi="Palatino Linotype" w:cs="Tahoma"/>
          <w:bCs/>
          <w:color w:val="000000"/>
          <w:sz w:val="22"/>
          <w:szCs w:val="22"/>
          <w:lang w:eastAsia="es-ES_tradnl"/>
        </w:rPr>
        <w:t>R</w:t>
      </w:r>
      <w:r w:rsidR="00912ABA" w:rsidRPr="00AF6580">
        <w:rPr>
          <w:rFonts w:ascii="Palatino Linotype" w:eastAsia="Calibri" w:hAnsi="Palatino Linotype" w:cs="Tahoma"/>
          <w:bCs/>
          <w:color w:val="000000"/>
          <w:sz w:val="22"/>
          <w:szCs w:val="22"/>
          <w:lang w:eastAsia="es-ES_tradnl"/>
        </w:rPr>
        <w:t>evisión</w:t>
      </w:r>
      <w:r w:rsidRPr="00AF6580">
        <w:rPr>
          <w:rFonts w:ascii="Palatino Linotype" w:eastAsia="Calibri" w:hAnsi="Palatino Linotype" w:cs="Tahoma"/>
          <w:bCs/>
          <w:color w:val="000000"/>
          <w:sz w:val="22"/>
          <w:szCs w:val="22"/>
          <w:lang w:eastAsia="es-ES_tradnl"/>
        </w:rPr>
        <w:t xml:space="preserve">, </w:t>
      </w:r>
      <w:r w:rsidRPr="00AF6580">
        <w:rPr>
          <w:rFonts w:ascii="Palatino Linotype" w:hAnsi="Palatino Linotype" w:cs="Tahoma"/>
          <w:sz w:val="22"/>
          <w:szCs w:val="22"/>
        </w:rPr>
        <w:t xml:space="preserve">se </w:t>
      </w:r>
      <w:r w:rsidR="006A45E9" w:rsidRPr="00AF6580">
        <w:rPr>
          <w:rFonts w:ascii="Palatino Linotype" w:hAnsi="Palatino Linotype" w:cs="Tahoma"/>
          <w:sz w:val="22"/>
          <w:szCs w:val="22"/>
        </w:rPr>
        <w:t xml:space="preserve">realizará la </w:t>
      </w:r>
      <w:r w:rsidR="005C24D0" w:rsidRPr="00AF6580">
        <w:rPr>
          <w:rFonts w:ascii="Palatino Linotype" w:hAnsi="Palatino Linotype" w:cs="Tahoma"/>
          <w:sz w:val="22"/>
          <w:szCs w:val="22"/>
        </w:rPr>
        <w:t>relatoría de las actuaciones efectuadas por las partes durante el procedimiento de acceso a la información pública</w:t>
      </w:r>
      <w:r w:rsidR="009F6EDF" w:rsidRPr="00AF6580">
        <w:rPr>
          <w:rFonts w:ascii="Palatino Linotype" w:hAnsi="Palatino Linotype" w:cs="Tahoma"/>
          <w:sz w:val="22"/>
          <w:szCs w:val="22"/>
        </w:rPr>
        <w:t xml:space="preserve"> </w:t>
      </w:r>
      <w:r w:rsidR="00A22FEA">
        <w:rPr>
          <w:rFonts w:ascii="Palatino Linotype" w:eastAsia="Calibri" w:hAnsi="Palatino Linotype" w:cs="Tahoma"/>
          <w:iCs/>
          <w:sz w:val="22"/>
          <w:szCs w:val="22"/>
          <w:lang w:eastAsia="es-ES_tradnl"/>
        </w:rPr>
        <w:t>con el propósito de</w:t>
      </w:r>
      <w:r w:rsidR="009F6EDF" w:rsidRPr="00AF6580">
        <w:rPr>
          <w:rFonts w:ascii="Palatino Linotype" w:eastAsia="Calibri" w:hAnsi="Palatino Linotype" w:cs="Tahoma"/>
          <w:iCs/>
          <w:sz w:val="22"/>
          <w:szCs w:val="22"/>
          <w:lang w:eastAsia="es-ES_tradnl"/>
        </w:rPr>
        <w:t xml:space="preserve"> dar</w:t>
      </w:r>
      <w:r w:rsidR="002E378C" w:rsidRPr="00AF6580">
        <w:rPr>
          <w:rFonts w:ascii="Palatino Linotype" w:eastAsia="Calibri" w:hAnsi="Palatino Linotype" w:cs="Tahoma"/>
          <w:iCs/>
          <w:sz w:val="22"/>
          <w:szCs w:val="22"/>
          <w:lang w:eastAsia="es-ES_tradnl"/>
        </w:rPr>
        <w:t xml:space="preserve"> claridad en el tratamiento del tema en estudio</w:t>
      </w:r>
      <w:r w:rsidRPr="00AF6580">
        <w:rPr>
          <w:rFonts w:ascii="Palatino Linotype" w:eastAsia="Calibri" w:hAnsi="Palatino Linotype" w:cs="Tahoma"/>
          <w:iCs/>
          <w:sz w:val="22"/>
          <w:szCs w:val="22"/>
          <w:lang w:eastAsia="es-ES_tradnl"/>
        </w:rPr>
        <w:t>.</w:t>
      </w:r>
      <w:r w:rsidR="002E378C" w:rsidRPr="00AF6580">
        <w:rPr>
          <w:rFonts w:ascii="Palatino Linotype" w:eastAsia="Calibri" w:hAnsi="Palatino Linotype" w:cs="Tahoma"/>
          <w:iCs/>
          <w:sz w:val="22"/>
          <w:szCs w:val="22"/>
          <w:lang w:eastAsia="es-ES_tradnl"/>
        </w:rPr>
        <w:t xml:space="preserve"> </w:t>
      </w:r>
    </w:p>
    <w:p w14:paraId="57E5231A" w14:textId="77777777" w:rsidR="002E378C" w:rsidRPr="00AF6580" w:rsidRDefault="002E378C" w:rsidP="007479DD">
      <w:pPr>
        <w:tabs>
          <w:tab w:val="left" w:pos="4962"/>
        </w:tabs>
        <w:spacing w:line="360" w:lineRule="auto"/>
        <w:jc w:val="both"/>
        <w:rPr>
          <w:rFonts w:ascii="Palatino Linotype" w:eastAsia="Calibri" w:hAnsi="Palatino Linotype" w:cs="Tahoma"/>
          <w:iCs/>
          <w:sz w:val="22"/>
          <w:szCs w:val="22"/>
          <w:lang w:eastAsia="es-ES_tradnl"/>
        </w:rPr>
      </w:pPr>
    </w:p>
    <w:p w14:paraId="0C808905" w14:textId="22CAB204" w:rsidR="002E378C" w:rsidRDefault="005248B2" w:rsidP="007479DD">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w:t>
      </w:r>
      <w:r w:rsidR="00A22FEA" w:rsidRPr="00A119A3">
        <w:rPr>
          <w:rFonts w:ascii="Palatino Linotype" w:eastAsia="Calibri" w:hAnsi="Palatino Linotype" w:cs="Tahoma"/>
          <w:iCs/>
          <w:sz w:val="22"/>
          <w:szCs w:val="22"/>
          <w:lang w:eastAsia="es-ES_tradnl"/>
        </w:rPr>
        <w:t>l particular solicitó a</w:t>
      </w:r>
      <w:r w:rsidR="00A22FEA">
        <w:rPr>
          <w:rFonts w:ascii="Palatino Linotype" w:eastAsia="Calibri" w:hAnsi="Palatino Linotype" w:cs="Tahoma"/>
          <w:iCs/>
          <w:sz w:val="22"/>
          <w:szCs w:val="22"/>
          <w:lang w:eastAsia="es-ES_tradnl"/>
        </w:rPr>
        <w:t xml:space="preserve">l </w:t>
      </w:r>
      <w:r w:rsidR="000F674A" w:rsidRPr="000F674A">
        <w:rPr>
          <w:rFonts w:ascii="Palatino Linotype" w:eastAsia="Calibri" w:hAnsi="Palatino Linotype" w:cs="Tahoma"/>
          <w:iCs/>
          <w:sz w:val="22"/>
          <w:szCs w:val="22"/>
          <w:lang w:eastAsia="es-ES_tradnl"/>
        </w:rPr>
        <w:t xml:space="preserve">Instituto de Transparencia, Acceso a la Información Pública y Protección de Datos Personales del Estado </w:t>
      </w:r>
      <w:r w:rsidR="000F674A" w:rsidRPr="00A119A3">
        <w:rPr>
          <w:rFonts w:ascii="Palatino Linotype" w:eastAsia="Calibri" w:hAnsi="Palatino Linotype" w:cs="Tahoma"/>
          <w:iCs/>
          <w:sz w:val="22"/>
          <w:szCs w:val="22"/>
          <w:lang w:eastAsia="es-ES_tradnl"/>
        </w:rPr>
        <w:t>de México y Municipios</w:t>
      </w:r>
      <w:r w:rsidR="000F674A" w:rsidRPr="000F674A">
        <w:rPr>
          <w:rFonts w:ascii="Palatino Linotype" w:eastAsia="Calibri" w:hAnsi="Palatino Linotype" w:cs="Tahoma"/>
          <w:iCs/>
          <w:sz w:val="22"/>
          <w:szCs w:val="22"/>
          <w:lang w:eastAsia="es-ES_tradnl"/>
        </w:rPr>
        <w:t xml:space="preserve"> </w:t>
      </w:r>
      <w:r w:rsidR="00A119A3" w:rsidRPr="00A119A3">
        <w:rPr>
          <w:rFonts w:ascii="Palatino Linotype" w:eastAsia="Calibri" w:hAnsi="Palatino Linotype" w:cs="Tahoma"/>
          <w:iCs/>
          <w:sz w:val="22"/>
          <w:szCs w:val="22"/>
          <w:lang w:eastAsia="es-ES_tradnl"/>
        </w:rPr>
        <w:t xml:space="preserve">si es válido que </w:t>
      </w:r>
      <w:r w:rsidR="005830BF">
        <w:rPr>
          <w:rFonts w:ascii="Palatino Linotype" w:eastAsia="Calibri" w:hAnsi="Palatino Linotype" w:cs="Tahoma"/>
          <w:iCs/>
          <w:sz w:val="22"/>
          <w:szCs w:val="22"/>
          <w:lang w:eastAsia="es-ES_tradnl"/>
        </w:rPr>
        <w:t xml:space="preserve">los sujetos obligados </w:t>
      </w:r>
      <w:r w:rsidR="00A119A3" w:rsidRPr="00A119A3">
        <w:rPr>
          <w:rFonts w:ascii="Palatino Linotype" w:eastAsia="Calibri" w:hAnsi="Palatino Linotype" w:cs="Tahoma"/>
          <w:iCs/>
          <w:sz w:val="22"/>
          <w:szCs w:val="22"/>
          <w:lang w:eastAsia="es-ES_tradnl"/>
        </w:rPr>
        <w:t>solo emita</w:t>
      </w:r>
      <w:r w:rsidR="005830BF">
        <w:rPr>
          <w:rFonts w:ascii="Palatino Linotype" w:eastAsia="Calibri" w:hAnsi="Palatino Linotype" w:cs="Tahoma"/>
          <w:iCs/>
          <w:sz w:val="22"/>
          <w:szCs w:val="22"/>
          <w:lang w:eastAsia="es-ES_tradnl"/>
        </w:rPr>
        <w:t>n</w:t>
      </w:r>
      <w:r w:rsidR="00A119A3" w:rsidRPr="00A119A3">
        <w:rPr>
          <w:rFonts w:ascii="Palatino Linotype" w:eastAsia="Calibri" w:hAnsi="Palatino Linotype" w:cs="Tahoma"/>
          <w:iCs/>
          <w:sz w:val="22"/>
          <w:szCs w:val="22"/>
          <w:lang w:eastAsia="es-ES_tradnl"/>
        </w:rPr>
        <w:t xml:space="preserve"> en el sustento de la respuesta un acuerdo firmado por el titular de transparencia y no así un acta firmada por el comité de transparencia</w:t>
      </w:r>
      <w:r w:rsidR="00465F43">
        <w:rPr>
          <w:rFonts w:ascii="Palatino Linotype" w:eastAsia="Calibri" w:hAnsi="Palatino Linotype" w:cs="Tahoma"/>
          <w:iCs/>
          <w:sz w:val="22"/>
          <w:szCs w:val="22"/>
          <w:lang w:eastAsia="es-ES_tradnl"/>
        </w:rPr>
        <w:t xml:space="preserve">, </w:t>
      </w:r>
      <w:r w:rsidR="00A15750">
        <w:rPr>
          <w:rFonts w:ascii="Palatino Linotype" w:eastAsia="Calibri" w:hAnsi="Palatino Linotype" w:cs="Tahoma"/>
          <w:iCs/>
          <w:sz w:val="22"/>
          <w:szCs w:val="22"/>
          <w:lang w:eastAsia="es-ES_tradnl"/>
        </w:rPr>
        <w:t>en respuesta,</w:t>
      </w:r>
      <w:r w:rsidR="00465F43">
        <w:rPr>
          <w:rFonts w:ascii="Palatino Linotype" w:eastAsia="Calibri" w:hAnsi="Palatino Linotype" w:cs="Tahoma"/>
          <w:iCs/>
          <w:sz w:val="22"/>
          <w:szCs w:val="22"/>
          <w:lang w:eastAsia="es-ES_tradnl"/>
        </w:rPr>
        <w:t xml:space="preserve"> a través de</w:t>
      </w:r>
      <w:r w:rsidR="005830BF">
        <w:rPr>
          <w:rFonts w:ascii="Palatino Linotype" w:eastAsia="Calibri" w:hAnsi="Palatino Linotype" w:cs="Tahoma"/>
          <w:iCs/>
          <w:sz w:val="22"/>
          <w:szCs w:val="22"/>
          <w:lang w:eastAsia="es-ES_tradnl"/>
        </w:rPr>
        <w:t xml:space="preserve"> </w:t>
      </w:r>
      <w:r w:rsidR="00465F43">
        <w:rPr>
          <w:rFonts w:ascii="Palatino Linotype" w:eastAsia="Calibri" w:hAnsi="Palatino Linotype" w:cs="Tahoma"/>
          <w:iCs/>
          <w:sz w:val="22"/>
          <w:szCs w:val="22"/>
          <w:lang w:eastAsia="es-ES_tradnl"/>
        </w:rPr>
        <w:t>l</w:t>
      </w:r>
      <w:r w:rsidR="005830BF">
        <w:rPr>
          <w:rFonts w:ascii="Palatino Linotype" w:eastAsia="Calibri" w:hAnsi="Palatino Linotype" w:cs="Tahoma"/>
          <w:iCs/>
          <w:sz w:val="22"/>
          <w:szCs w:val="22"/>
          <w:lang w:eastAsia="es-ES_tradnl"/>
        </w:rPr>
        <w:t>a</w:t>
      </w:r>
      <w:r w:rsidR="00465F43">
        <w:rPr>
          <w:rFonts w:ascii="Palatino Linotype" w:eastAsia="Calibri" w:hAnsi="Palatino Linotype" w:cs="Tahoma"/>
          <w:iCs/>
          <w:sz w:val="22"/>
          <w:szCs w:val="22"/>
          <w:lang w:eastAsia="es-ES_tradnl"/>
        </w:rPr>
        <w:t xml:space="preserve"> </w:t>
      </w:r>
      <w:r w:rsidR="005830BF">
        <w:rPr>
          <w:rFonts w:ascii="Palatino Linotype" w:eastAsia="Calibri" w:hAnsi="Palatino Linotype" w:cs="Tahoma"/>
          <w:iCs/>
          <w:sz w:val="22"/>
          <w:szCs w:val="22"/>
          <w:lang w:eastAsia="es-ES_tradnl"/>
        </w:rPr>
        <w:t xml:space="preserve">Titular de la Unidad de Transparencia </w:t>
      </w:r>
      <w:r w:rsidR="00465F43">
        <w:rPr>
          <w:rFonts w:ascii="Palatino Linotype" w:eastAsia="Calibri" w:hAnsi="Palatino Linotype" w:cs="Tahoma"/>
          <w:iCs/>
          <w:sz w:val="22"/>
          <w:szCs w:val="22"/>
          <w:lang w:eastAsia="es-ES_tradnl"/>
        </w:rPr>
        <w:t xml:space="preserve">el </w:t>
      </w:r>
      <w:r w:rsidR="00C8061A">
        <w:rPr>
          <w:rFonts w:ascii="Palatino Linotype" w:eastAsia="Calibri" w:hAnsi="Palatino Linotype" w:cs="Tahoma"/>
          <w:iCs/>
          <w:sz w:val="22"/>
          <w:szCs w:val="22"/>
          <w:lang w:eastAsia="es-ES_tradnl"/>
        </w:rPr>
        <w:t>Sujeto Obligado</w:t>
      </w:r>
      <w:r w:rsidR="00465F43">
        <w:rPr>
          <w:rFonts w:ascii="Palatino Linotype" w:eastAsia="Calibri" w:hAnsi="Palatino Linotype" w:cs="Tahoma"/>
          <w:iCs/>
          <w:sz w:val="22"/>
          <w:szCs w:val="22"/>
          <w:lang w:eastAsia="es-ES_tradnl"/>
        </w:rPr>
        <w:t xml:space="preserve">, </w:t>
      </w:r>
      <w:r w:rsidR="00A15750">
        <w:rPr>
          <w:rFonts w:ascii="Palatino Linotype" w:eastAsia="Calibri" w:hAnsi="Palatino Linotype" w:cs="Tahoma"/>
          <w:iCs/>
          <w:sz w:val="22"/>
          <w:szCs w:val="22"/>
          <w:lang w:eastAsia="es-ES_tradnl"/>
        </w:rPr>
        <w:t xml:space="preserve">indicó </w:t>
      </w:r>
      <w:r w:rsidR="00465F43">
        <w:rPr>
          <w:rFonts w:ascii="Palatino Linotype" w:eastAsia="Calibri" w:hAnsi="Palatino Linotype" w:cs="Tahoma"/>
          <w:iCs/>
          <w:sz w:val="22"/>
          <w:szCs w:val="22"/>
          <w:lang w:eastAsia="es-ES_tradnl"/>
        </w:rPr>
        <w:t xml:space="preserve">que </w:t>
      </w:r>
      <w:r w:rsidR="007541F8">
        <w:rPr>
          <w:rFonts w:ascii="Palatino Linotype" w:eastAsia="Calibri" w:hAnsi="Palatino Linotype" w:cs="Tahoma"/>
          <w:iCs/>
          <w:sz w:val="22"/>
          <w:szCs w:val="22"/>
          <w:lang w:eastAsia="es-ES_tradnl"/>
        </w:rPr>
        <w:t xml:space="preserve">la solicitud de acceso a la información </w:t>
      </w:r>
      <w:r w:rsidR="007541F8" w:rsidRPr="007541F8">
        <w:rPr>
          <w:rFonts w:ascii="Palatino Linotype" w:eastAsia="Calibri" w:hAnsi="Palatino Linotype" w:cs="Tahoma"/>
          <w:iCs/>
          <w:sz w:val="22"/>
          <w:szCs w:val="22"/>
          <w:lang w:eastAsia="es-ES_tradnl"/>
        </w:rPr>
        <w:t>se trata de cuestionamientos y manife</w:t>
      </w:r>
      <w:r w:rsidR="007541F8">
        <w:rPr>
          <w:rFonts w:ascii="Palatino Linotype" w:eastAsia="Calibri" w:hAnsi="Palatino Linotype" w:cs="Tahoma"/>
          <w:iCs/>
          <w:sz w:val="22"/>
          <w:szCs w:val="22"/>
          <w:lang w:eastAsia="es-ES_tradnl"/>
        </w:rPr>
        <w:t>staciones subjetivas</w:t>
      </w:r>
      <w:r w:rsidR="007541F8" w:rsidRPr="007541F8">
        <w:rPr>
          <w:rFonts w:ascii="Palatino Linotype" w:eastAsia="Calibri" w:hAnsi="Palatino Linotype" w:cs="Tahoma"/>
          <w:iCs/>
          <w:sz w:val="22"/>
          <w:szCs w:val="22"/>
          <w:lang w:eastAsia="es-ES_tradnl"/>
        </w:rPr>
        <w:t xml:space="preserve">, los cuales no se colman con la entrega de documentos, ya que se puede considerar que lo planteado se traduce en un derecho de petición; ello, por tratarse de una pretensión consistente en obligar </w:t>
      </w:r>
      <w:r w:rsidR="007541F8" w:rsidRPr="007541F8">
        <w:rPr>
          <w:rFonts w:ascii="Palatino Linotype" w:eastAsia="Calibri" w:hAnsi="Palatino Linotype" w:cs="Tahoma"/>
          <w:iCs/>
          <w:sz w:val="22"/>
          <w:szCs w:val="22"/>
          <w:lang w:eastAsia="es-ES_tradnl"/>
        </w:rPr>
        <w:lastRenderedPageBreak/>
        <w:t>a la autoridad responsable a que actúe encaminada a contestar lo solicitado, lo que se constriñe a generar un documento específico, inexistente al momento de pretender ejercer el derecho de acceso a la información; haciendo hincapié que éste último derecho estriba en una prerrogativa de toda persona encaminada primordialmente a permitir el acceso a datos, registros y todo tipo de información pública que conste en documentos, ya sea generada o poseída por los sujetos obligados</w:t>
      </w:r>
      <w:r w:rsidR="00465F43">
        <w:rPr>
          <w:rFonts w:ascii="Palatino Linotype" w:eastAsia="Calibri" w:hAnsi="Palatino Linotype" w:cs="Tahoma"/>
          <w:iCs/>
          <w:sz w:val="22"/>
          <w:szCs w:val="22"/>
          <w:lang w:eastAsia="es-ES_tradnl"/>
        </w:rPr>
        <w:t>.</w:t>
      </w:r>
    </w:p>
    <w:p w14:paraId="479759BE" w14:textId="77777777" w:rsidR="00465F43" w:rsidRDefault="00465F43" w:rsidP="007479DD">
      <w:pPr>
        <w:tabs>
          <w:tab w:val="left" w:pos="4962"/>
        </w:tabs>
        <w:spacing w:line="360" w:lineRule="auto"/>
        <w:jc w:val="both"/>
        <w:rPr>
          <w:rFonts w:ascii="Palatino Linotype" w:eastAsia="Calibri" w:hAnsi="Palatino Linotype" w:cs="Tahoma"/>
          <w:iCs/>
          <w:sz w:val="22"/>
          <w:szCs w:val="22"/>
          <w:lang w:eastAsia="es-ES_tradnl"/>
        </w:rPr>
      </w:pPr>
    </w:p>
    <w:p w14:paraId="47D22C3C" w14:textId="7615CCF8" w:rsidR="00465F43" w:rsidRDefault="00465F43" w:rsidP="00E60CF3">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Al respecto, </w:t>
      </w:r>
      <w:r w:rsidR="00F67789">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 xml:space="preserve">l </w:t>
      </w:r>
      <w:r w:rsidRPr="00B57FCF">
        <w:rPr>
          <w:rFonts w:ascii="Palatino Linotype" w:eastAsia="Calibri" w:hAnsi="Palatino Linotype" w:cs="Tahoma"/>
          <w:iCs/>
          <w:sz w:val="22"/>
          <w:szCs w:val="22"/>
          <w:lang w:eastAsia="es-ES_tradnl"/>
        </w:rPr>
        <w:t>Recurrente se inconform</w:t>
      </w:r>
      <w:r w:rsidR="004E1B47" w:rsidRPr="00B57FCF">
        <w:rPr>
          <w:rFonts w:ascii="Palatino Linotype" w:eastAsia="Calibri" w:hAnsi="Palatino Linotype" w:cs="Tahoma"/>
          <w:iCs/>
          <w:sz w:val="22"/>
          <w:szCs w:val="22"/>
          <w:lang w:eastAsia="es-ES_tradnl"/>
        </w:rPr>
        <w:t>ó</w:t>
      </w:r>
      <w:r w:rsidRPr="00B57FCF">
        <w:rPr>
          <w:rFonts w:ascii="Palatino Linotype" w:eastAsia="Calibri" w:hAnsi="Palatino Linotype" w:cs="Tahoma"/>
          <w:iCs/>
          <w:sz w:val="22"/>
          <w:szCs w:val="22"/>
          <w:lang w:eastAsia="es-ES_tradnl"/>
        </w:rPr>
        <w:t xml:space="preserve"> por la respuesta otorgada por el Sujeto Obligado, </w:t>
      </w:r>
      <w:r w:rsidR="004E1B47" w:rsidRPr="00B57FCF">
        <w:rPr>
          <w:rFonts w:ascii="Palatino Linotype" w:eastAsia="Calibri" w:hAnsi="Palatino Linotype" w:cs="Tahoma"/>
          <w:iCs/>
          <w:sz w:val="22"/>
          <w:szCs w:val="22"/>
          <w:lang w:eastAsia="es-ES_tradnl"/>
        </w:rPr>
        <w:t>bajo el argumento</w:t>
      </w:r>
      <w:r w:rsidR="00F67789" w:rsidRPr="00B57FCF">
        <w:rPr>
          <w:rFonts w:ascii="Palatino Linotype" w:hAnsi="Palatino Linotype"/>
          <w:sz w:val="22"/>
          <w:szCs w:val="22"/>
        </w:rPr>
        <w:t xml:space="preserve"> </w:t>
      </w:r>
      <w:r w:rsidR="00B57FCF">
        <w:rPr>
          <w:rFonts w:ascii="Palatino Linotype" w:hAnsi="Palatino Linotype"/>
          <w:sz w:val="22"/>
          <w:szCs w:val="22"/>
        </w:rPr>
        <w:t xml:space="preserve">de </w:t>
      </w:r>
      <w:r w:rsidR="00F67789" w:rsidRPr="00B57FCF">
        <w:rPr>
          <w:rFonts w:ascii="Palatino Linotype" w:hAnsi="Palatino Linotype"/>
          <w:sz w:val="22"/>
          <w:szCs w:val="22"/>
        </w:rPr>
        <w:t xml:space="preserve">que </w:t>
      </w:r>
      <w:r w:rsidR="00B57FCF">
        <w:rPr>
          <w:rFonts w:ascii="Palatino Linotype" w:hAnsi="Palatino Linotype"/>
          <w:sz w:val="22"/>
          <w:szCs w:val="22"/>
        </w:rPr>
        <w:t>su solicitud contiene</w:t>
      </w:r>
      <w:r w:rsidR="00F67789" w:rsidRPr="00B57FCF">
        <w:rPr>
          <w:rFonts w:ascii="Palatino Linotype" w:eastAsia="Calibri" w:hAnsi="Palatino Linotype" w:cs="Tahoma"/>
          <w:iCs/>
          <w:sz w:val="22"/>
          <w:szCs w:val="22"/>
          <w:lang w:eastAsia="es-ES_tradnl"/>
        </w:rPr>
        <w:t xml:space="preserve"> cuestionamientos personales y que</w:t>
      </w:r>
      <w:r w:rsidR="00B57FCF">
        <w:rPr>
          <w:rFonts w:ascii="Palatino Linotype" w:eastAsia="Calibri" w:hAnsi="Palatino Linotype" w:cs="Tahoma"/>
          <w:iCs/>
          <w:sz w:val="22"/>
          <w:szCs w:val="22"/>
          <w:lang w:eastAsia="es-ES_tradnl"/>
        </w:rPr>
        <w:t xml:space="preserve">, </w:t>
      </w:r>
      <w:r w:rsidR="00F67789" w:rsidRPr="00B57FCF">
        <w:rPr>
          <w:rFonts w:ascii="Palatino Linotype" w:eastAsia="Calibri" w:hAnsi="Palatino Linotype" w:cs="Tahoma"/>
          <w:iCs/>
          <w:sz w:val="22"/>
          <w:szCs w:val="22"/>
          <w:lang w:eastAsia="es-ES_tradnl"/>
        </w:rPr>
        <w:t>como órgano máximo en el Estado y peritos en la materia</w:t>
      </w:r>
      <w:r w:rsidR="00B57FCF">
        <w:rPr>
          <w:rFonts w:ascii="Palatino Linotype" w:eastAsia="Calibri" w:hAnsi="Palatino Linotype" w:cs="Tahoma"/>
          <w:iCs/>
          <w:sz w:val="22"/>
          <w:szCs w:val="22"/>
          <w:lang w:eastAsia="es-ES_tradnl"/>
        </w:rPr>
        <w:t>,</w:t>
      </w:r>
      <w:r w:rsidR="00F67789" w:rsidRPr="00F67789">
        <w:rPr>
          <w:rFonts w:ascii="Palatino Linotype" w:eastAsia="Calibri" w:hAnsi="Palatino Linotype" w:cs="Tahoma"/>
          <w:iCs/>
          <w:sz w:val="22"/>
          <w:szCs w:val="22"/>
          <w:lang w:eastAsia="es-ES_tradnl"/>
        </w:rPr>
        <w:t xml:space="preserve"> pueden informar si es correcto o no la actividad que realizan algunos titulares de información al no regirse en apego a la normatividad dejando claro que este Instituto no vigila las respuestas y el desempeño de los responsables en atender con eficiencia y eficacia la petición de información como responsabilidad y derecho humano.</w:t>
      </w:r>
      <w:r>
        <w:rPr>
          <w:rFonts w:ascii="Palatino Linotype" w:eastAsia="Calibri" w:hAnsi="Palatino Linotype" w:cs="Tahoma"/>
          <w:iCs/>
          <w:sz w:val="22"/>
          <w:szCs w:val="22"/>
          <w:lang w:eastAsia="es-ES_tradnl"/>
        </w:rPr>
        <w:t xml:space="preserve"> </w:t>
      </w:r>
    </w:p>
    <w:p w14:paraId="763E9D8E" w14:textId="77777777" w:rsidR="00E60CF3" w:rsidRPr="00465F43" w:rsidRDefault="00E60CF3" w:rsidP="00E60CF3">
      <w:pPr>
        <w:tabs>
          <w:tab w:val="left" w:pos="4962"/>
        </w:tabs>
        <w:spacing w:line="360" w:lineRule="auto"/>
        <w:jc w:val="both"/>
        <w:rPr>
          <w:rFonts w:ascii="Palatino Linotype" w:eastAsia="Calibri" w:hAnsi="Palatino Linotype" w:cs="Tahoma"/>
          <w:iCs/>
          <w:szCs w:val="22"/>
          <w:lang w:eastAsia="es-ES_tradnl"/>
        </w:rPr>
      </w:pPr>
    </w:p>
    <w:p w14:paraId="28FE7D92" w14:textId="02298251" w:rsidR="001A6B36" w:rsidRPr="001125F4" w:rsidRDefault="001125F4" w:rsidP="00F777E3">
      <w:pPr>
        <w:tabs>
          <w:tab w:val="left" w:pos="4962"/>
        </w:tabs>
        <w:spacing w:line="360" w:lineRule="auto"/>
        <w:jc w:val="both"/>
        <w:rPr>
          <w:rFonts w:ascii="Palatino Linotype" w:hAnsi="Palatino Linotype" w:cs="Tahoma"/>
          <w:szCs w:val="22"/>
        </w:rPr>
      </w:pPr>
      <w:r>
        <w:rPr>
          <w:rFonts w:ascii="Palatino Linotype" w:hAnsi="Palatino Linotype" w:cs="Tahoma"/>
          <w:sz w:val="22"/>
          <w:szCs w:val="22"/>
          <w:lang w:val="es-MX"/>
        </w:rPr>
        <w:t xml:space="preserve">En </w:t>
      </w:r>
      <w:r w:rsidR="002E378C" w:rsidRPr="00AF6580">
        <w:rPr>
          <w:rFonts w:ascii="Palatino Linotype" w:hAnsi="Palatino Linotype" w:cs="Tahoma"/>
          <w:sz w:val="22"/>
          <w:szCs w:val="22"/>
          <w:lang w:val="es-MX"/>
        </w:rPr>
        <w:t xml:space="preserve">las manifestaciones </w:t>
      </w:r>
      <w:r w:rsidR="006643BB" w:rsidRPr="00AF6580">
        <w:rPr>
          <w:rFonts w:ascii="Palatino Linotype" w:hAnsi="Palatino Linotype" w:cs="Tahoma"/>
          <w:sz w:val="22"/>
          <w:szCs w:val="22"/>
          <w:lang w:val="es-MX"/>
        </w:rPr>
        <w:t xml:space="preserve">enviadas por el </w:t>
      </w:r>
      <w:r w:rsidR="00E62E3B" w:rsidRPr="00AF6580">
        <w:rPr>
          <w:rFonts w:ascii="Palatino Linotype" w:hAnsi="Palatino Linotype" w:cs="Tahoma"/>
          <w:sz w:val="22"/>
          <w:szCs w:val="22"/>
          <w:lang w:val="es-MX"/>
        </w:rPr>
        <w:t>Sujeto Obligado</w:t>
      </w:r>
      <w:r w:rsidR="008B7EF3">
        <w:rPr>
          <w:rFonts w:ascii="Palatino Linotype" w:hAnsi="Palatino Linotype" w:cs="Tahoma"/>
          <w:sz w:val="22"/>
          <w:szCs w:val="22"/>
          <w:lang w:val="es-MX"/>
        </w:rPr>
        <w:t xml:space="preserve"> vía Informe Justificado</w:t>
      </w:r>
      <w:r w:rsidR="006643BB" w:rsidRPr="00AF6580">
        <w:rPr>
          <w:rFonts w:ascii="Palatino Linotype" w:hAnsi="Palatino Linotype" w:cs="Tahoma"/>
          <w:sz w:val="22"/>
          <w:szCs w:val="22"/>
          <w:lang w:val="es-MX"/>
        </w:rPr>
        <w:t xml:space="preserve">, </w:t>
      </w:r>
      <w:r>
        <w:rPr>
          <w:rFonts w:ascii="Palatino Linotype" w:hAnsi="Palatino Linotype" w:cs="Tahoma"/>
          <w:sz w:val="22"/>
          <w:szCs w:val="22"/>
          <w:lang w:val="es-MX"/>
        </w:rPr>
        <w:t>amplió su r</w:t>
      </w:r>
      <w:r w:rsidR="00E60CF3">
        <w:rPr>
          <w:rFonts w:ascii="Palatino Linotype" w:hAnsi="Palatino Linotype" w:cs="Tahoma"/>
          <w:sz w:val="22"/>
          <w:szCs w:val="22"/>
          <w:lang w:val="es-MX"/>
        </w:rPr>
        <w:t xml:space="preserve">espuesta primigenia, en la que </w:t>
      </w:r>
      <w:r>
        <w:rPr>
          <w:rFonts w:ascii="Palatino Linotype" w:hAnsi="Palatino Linotype" w:cs="Tahoma"/>
          <w:sz w:val="22"/>
          <w:szCs w:val="22"/>
          <w:lang w:val="es-MX"/>
        </w:rPr>
        <w:t>l</w:t>
      </w:r>
      <w:r w:rsidR="00E60CF3">
        <w:rPr>
          <w:rFonts w:ascii="Palatino Linotype" w:hAnsi="Palatino Linotype" w:cs="Tahoma"/>
          <w:sz w:val="22"/>
          <w:szCs w:val="22"/>
          <w:lang w:val="es-MX"/>
        </w:rPr>
        <w:t xml:space="preserve">a Titular de la Unidad de Transparencia del Sujeto Obligado </w:t>
      </w:r>
      <w:r w:rsidR="003638A6">
        <w:rPr>
          <w:rFonts w:ascii="Palatino Linotype" w:hAnsi="Palatino Linotype" w:cs="Tahoma"/>
          <w:sz w:val="22"/>
          <w:szCs w:val="22"/>
          <w:lang w:val="es-MX"/>
        </w:rPr>
        <w:t xml:space="preserve">da a conocer al Recurrente las funciones de las Unidades de Transparencia así como las atribuciones de los Comités de Transparencia, mismas que se encuentran establecidas en los artículos 49 y 53 de la Ley de Transparencia y Acceso a la Información Pública del Estado de México y Municipios </w:t>
      </w:r>
      <w:r w:rsidR="00F777E3">
        <w:rPr>
          <w:rFonts w:ascii="Palatino Linotype" w:hAnsi="Palatino Linotype" w:cs="Tahoma"/>
          <w:sz w:val="22"/>
          <w:szCs w:val="22"/>
          <w:lang w:val="es-MX"/>
        </w:rPr>
        <w:t>respectivamente</w:t>
      </w:r>
      <w:r w:rsidR="007C48BF">
        <w:rPr>
          <w:rFonts w:ascii="Palatino Linotype" w:hAnsi="Palatino Linotype" w:cs="Tahoma"/>
          <w:sz w:val="22"/>
          <w:szCs w:val="22"/>
          <w:lang w:val="es-MX"/>
        </w:rPr>
        <w:t xml:space="preserve"> </w:t>
      </w:r>
      <w:r w:rsidR="00EB73E6">
        <w:rPr>
          <w:rFonts w:ascii="Palatino Linotype" w:hAnsi="Palatino Linotype" w:cs="Tahoma"/>
          <w:sz w:val="22"/>
          <w:szCs w:val="22"/>
          <w:lang w:val="es-MX"/>
        </w:rPr>
        <w:t>y el artículo 94 de la Ley de Protección de Datos Personales en Posesión de los Sujetos Obligados del Estado de México y Municipios.</w:t>
      </w:r>
      <w:r w:rsidR="00AF28EC">
        <w:rPr>
          <w:rFonts w:ascii="Palatino Linotype" w:hAnsi="Palatino Linotype" w:cs="Tahoma"/>
          <w:szCs w:val="22"/>
        </w:rPr>
        <w:t xml:space="preserve"> </w:t>
      </w:r>
    </w:p>
    <w:p w14:paraId="3BEA83D1" w14:textId="77777777" w:rsidR="00FD3D01" w:rsidRDefault="00FD3D01" w:rsidP="007479DD">
      <w:pPr>
        <w:tabs>
          <w:tab w:val="left" w:pos="4962"/>
        </w:tabs>
        <w:spacing w:line="360" w:lineRule="auto"/>
        <w:jc w:val="both"/>
        <w:rPr>
          <w:rFonts w:ascii="Palatino Linotype" w:hAnsi="Palatino Linotype" w:cs="Tahoma"/>
          <w:sz w:val="22"/>
          <w:szCs w:val="22"/>
          <w:lang w:val="es-MX"/>
        </w:rPr>
      </w:pPr>
    </w:p>
    <w:p w14:paraId="6D34B3F1" w14:textId="6C69E453" w:rsidR="002E378C" w:rsidRPr="00AF6580" w:rsidRDefault="00AF28EC" w:rsidP="007479DD">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lastRenderedPageBreak/>
        <w:t>A</w:t>
      </w:r>
      <w:r w:rsidR="006643BB" w:rsidRPr="00AF6580">
        <w:rPr>
          <w:rFonts w:ascii="Palatino Linotype" w:hAnsi="Palatino Linotype" w:cs="Tahoma"/>
          <w:sz w:val="22"/>
          <w:szCs w:val="22"/>
          <w:lang w:val="es-MX"/>
        </w:rPr>
        <w:t xml:space="preserve">l aportar información adicional al </w:t>
      </w:r>
      <w:r w:rsidR="0081616D">
        <w:rPr>
          <w:rFonts w:ascii="Palatino Linotype" w:hAnsi="Palatino Linotype" w:cs="Tahoma"/>
          <w:sz w:val="22"/>
          <w:szCs w:val="22"/>
          <w:lang w:val="es-MX"/>
        </w:rPr>
        <w:t>solicitante</w:t>
      </w:r>
      <w:r w:rsidR="006643BB" w:rsidRPr="00AF6580">
        <w:rPr>
          <w:rFonts w:ascii="Palatino Linotype" w:hAnsi="Palatino Linotype" w:cs="Tahoma"/>
          <w:sz w:val="22"/>
          <w:szCs w:val="22"/>
          <w:lang w:val="es-MX"/>
        </w:rPr>
        <w:t xml:space="preserve">, </w:t>
      </w:r>
      <w:r w:rsidR="00F777E3">
        <w:rPr>
          <w:rFonts w:ascii="Palatino Linotype" w:hAnsi="Palatino Linotype" w:cs="Tahoma"/>
          <w:sz w:val="22"/>
          <w:szCs w:val="22"/>
          <w:lang w:val="es-MX"/>
        </w:rPr>
        <w:t xml:space="preserve">el Informe Justificado </w:t>
      </w:r>
      <w:r w:rsidR="00966BD6">
        <w:rPr>
          <w:rFonts w:ascii="Palatino Linotype" w:hAnsi="Palatino Linotype" w:cs="Tahoma"/>
          <w:sz w:val="22"/>
          <w:szCs w:val="22"/>
          <w:lang w:val="es-MX"/>
        </w:rPr>
        <w:t xml:space="preserve">fue puesto </w:t>
      </w:r>
      <w:r w:rsidR="006643BB" w:rsidRPr="00AF6580">
        <w:rPr>
          <w:rFonts w:ascii="Palatino Linotype" w:hAnsi="Palatino Linotype" w:cs="Tahoma"/>
          <w:sz w:val="22"/>
          <w:szCs w:val="22"/>
          <w:lang w:val="es-MX"/>
        </w:rPr>
        <w:t xml:space="preserve">a la vista </w:t>
      </w:r>
      <w:r w:rsidR="008B7EF3">
        <w:rPr>
          <w:rFonts w:ascii="Palatino Linotype" w:hAnsi="Palatino Linotype" w:cs="Tahoma"/>
          <w:sz w:val="22"/>
          <w:szCs w:val="22"/>
          <w:lang w:val="es-MX"/>
        </w:rPr>
        <w:t xml:space="preserve">de </w:t>
      </w:r>
      <w:r w:rsidR="004002FF">
        <w:rPr>
          <w:rFonts w:ascii="Palatino Linotype" w:hAnsi="Palatino Linotype" w:cs="Tahoma"/>
          <w:sz w:val="22"/>
          <w:szCs w:val="22"/>
          <w:lang w:val="es-MX"/>
        </w:rPr>
        <w:t>e</w:t>
      </w:r>
      <w:r w:rsidR="007365E6" w:rsidRPr="00AF6580">
        <w:rPr>
          <w:rFonts w:ascii="Palatino Linotype" w:hAnsi="Palatino Linotype" w:cs="Tahoma"/>
          <w:sz w:val="22"/>
          <w:szCs w:val="22"/>
          <w:lang w:val="es-MX"/>
        </w:rPr>
        <w:t xml:space="preserve">ste </w:t>
      </w:r>
      <w:r w:rsidR="006643BB" w:rsidRPr="00AF6580">
        <w:rPr>
          <w:rFonts w:ascii="Palatino Linotype" w:hAnsi="Palatino Linotype" w:cs="Tahoma"/>
          <w:sz w:val="22"/>
          <w:szCs w:val="22"/>
          <w:lang w:val="es-MX"/>
        </w:rPr>
        <w:t xml:space="preserve">para que realizará las manifestaciones que </w:t>
      </w:r>
      <w:r w:rsidR="00281F04" w:rsidRPr="00AF6580">
        <w:rPr>
          <w:rFonts w:ascii="Palatino Linotype" w:hAnsi="Palatino Linotype" w:cs="Tahoma"/>
          <w:sz w:val="22"/>
          <w:szCs w:val="22"/>
          <w:lang w:val="es-MX"/>
        </w:rPr>
        <w:t xml:space="preserve">en </w:t>
      </w:r>
      <w:r w:rsidR="006643BB" w:rsidRPr="00AF6580">
        <w:rPr>
          <w:rFonts w:ascii="Palatino Linotype" w:hAnsi="Palatino Linotype" w:cs="Tahoma"/>
          <w:sz w:val="22"/>
          <w:szCs w:val="22"/>
          <w:lang w:val="es-MX"/>
        </w:rPr>
        <w:t>derecho convenga</w:t>
      </w:r>
      <w:r w:rsidR="00281F04" w:rsidRPr="00AF6580">
        <w:rPr>
          <w:rFonts w:ascii="Palatino Linotype" w:hAnsi="Palatino Linotype" w:cs="Tahoma"/>
          <w:sz w:val="22"/>
          <w:szCs w:val="22"/>
          <w:lang w:val="es-MX"/>
        </w:rPr>
        <w:t xml:space="preserve">; </w:t>
      </w:r>
      <w:r w:rsidR="001F74A4" w:rsidRPr="00AF6580">
        <w:rPr>
          <w:rFonts w:ascii="Palatino Linotype" w:hAnsi="Palatino Linotype" w:cs="Tahoma"/>
          <w:sz w:val="22"/>
          <w:szCs w:val="22"/>
          <w:lang w:val="es-MX"/>
        </w:rPr>
        <w:t>sin embargo, a la fecha del cierre de instrucción, no se recibieron</w:t>
      </w:r>
      <w:r w:rsidR="006643BB" w:rsidRPr="00AF6580">
        <w:rPr>
          <w:rFonts w:ascii="Palatino Linotype" w:hAnsi="Palatino Linotype" w:cs="Tahoma"/>
          <w:sz w:val="22"/>
          <w:szCs w:val="22"/>
          <w:lang w:val="es-MX"/>
        </w:rPr>
        <w:t xml:space="preserve"> manifestaciones adicionales por </w:t>
      </w:r>
      <w:r w:rsidR="007365E6" w:rsidRPr="00AF6580">
        <w:rPr>
          <w:rFonts w:ascii="Palatino Linotype" w:hAnsi="Palatino Linotype" w:cs="Tahoma"/>
          <w:sz w:val="22"/>
          <w:szCs w:val="22"/>
          <w:lang w:val="es-MX"/>
        </w:rPr>
        <w:t xml:space="preserve">su </w:t>
      </w:r>
      <w:r w:rsidR="006643BB" w:rsidRPr="00AF6580">
        <w:rPr>
          <w:rFonts w:ascii="Palatino Linotype" w:hAnsi="Palatino Linotype" w:cs="Tahoma"/>
          <w:sz w:val="22"/>
          <w:szCs w:val="22"/>
          <w:lang w:val="es-MX"/>
        </w:rPr>
        <w:t xml:space="preserve">parte. </w:t>
      </w:r>
    </w:p>
    <w:p w14:paraId="19E80E47" w14:textId="77777777" w:rsidR="002E378C" w:rsidRPr="00AF6580" w:rsidRDefault="002E378C" w:rsidP="007479DD">
      <w:pPr>
        <w:tabs>
          <w:tab w:val="left" w:pos="4962"/>
        </w:tabs>
        <w:spacing w:line="360" w:lineRule="auto"/>
        <w:jc w:val="both"/>
        <w:rPr>
          <w:rFonts w:ascii="Palatino Linotype" w:hAnsi="Palatino Linotype" w:cs="Tahoma"/>
          <w:sz w:val="22"/>
          <w:szCs w:val="22"/>
          <w:lang w:val="es-MX"/>
        </w:rPr>
      </w:pPr>
    </w:p>
    <w:p w14:paraId="3C5C7DEA" w14:textId="24DAA67F" w:rsidR="00611002" w:rsidRDefault="004C001D" w:rsidP="00EC64AC">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sidR="0081616D">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w:t>
      </w:r>
      <w:r w:rsidR="00C61451" w:rsidRPr="00AF6580">
        <w:rPr>
          <w:rFonts w:ascii="Palatino Linotype" w:eastAsia="Calibri" w:hAnsi="Palatino Linotype" w:cs="Tahoma"/>
          <w:bCs/>
          <w:sz w:val="22"/>
          <w:szCs w:val="22"/>
          <w:lang w:eastAsia="en-US"/>
        </w:rPr>
        <w:t xml:space="preserve">en un primer momento </w:t>
      </w:r>
      <w:r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Pr="00AF6580">
        <w:rPr>
          <w:rFonts w:ascii="Palatino Linotype" w:eastAsia="Calibri" w:hAnsi="Palatino Linotype" w:cs="Tahoma"/>
          <w:bCs/>
          <w:sz w:val="22"/>
          <w:szCs w:val="22"/>
          <w:lang w:eastAsia="en-US"/>
        </w:rPr>
        <w:t>, tal como lo h</w:t>
      </w:r>
      <w:r w:rsidR="00C61451" w:rsidRPr="00AF6580">
        <w:rPr>
          <w:rFonts w:ascii="Palatino Linotype" w:eastAsia="Calibri" w:hAnsi="Palatino Linotype" w:cs="Tahoma"/>
          <w:bCs/>
          <w:sz w:val="22"/>
          <w:szCs w:val="22"/>
          <w:lang w:eastAsia="en-US"/>
        </w:rPr>
        <w:t>izo</w:t>
      </w:r>
      <w:r w:rsidRPr="00AF6580">
        <w:rPr>
          <w:rFonts w:ascii="Palatino Linotype" w:eastAsia="Calibri" w:hAnsi="Palatino Linotype" w:cs="Tahoma"/>
          <w:bCs/>
          <w:sz w:val="22"/>
          <w:szCs w:val="22"/>
          <w:lang w:eastAsia="en-US"/>
        </w:rPr>
        <w:t xml:space="preserve"> valer </w:t>
      </w:r>
      <w:r w:rsidR="004F4CC8">
        <w:rPr>
          <w:rFonts w:ascii="Palatino Linotype" w:eastAsia="Calibri" w:hAnsi="Palatino Linotype" w:cs="Tahoma"/>
          <w:bCs/>
          <w:sz w:val="22"/>
          <w:szCs w:val="22"/>
          <w:lang w:eastAsia="en-US"/>
        </w:rPr>
        <w:t>el</w:t>
      </w:r>
      <w:r w:rsidRPr="00AF6580">
        <w:rPr>
          <w:rFonts w:ascii="Palatino Linotype" w:eastAsia="Calibri" w:hAnsi="Palatino Linotype" w:cs="Tahoma"/>
          <w:bCs/>
          <w:sz w:val="22"/>
          <w:szCs w:val="22"/>
          <w:lang w:eastAsia="en-US"/>
        </w:rPr>
        <w:t xml:space="preserve"> ahora </w:t>
      </w:r>
      <w:r w:rsidR="00291ACA">
        <w:rPr>
          <w:rFonts w:ascii="Palatino Linotype" w:eastAsia="Calibri" w:hAnsi="Palatino Linotype" w:cs="Tahoma"/>
          <w:bCs/>
          <w:sz w:val="22"/>
          <w:szCs w:val="22"/>
          <w:lang w:eastAsia="en-US"/>
        </w:rPr>
        <w:t>R</w:t>
      </w:r>
      <w:r w:rsidRPr="00AF6580">
        <w:rPr>
          <w:rFonts w:ascii="Palatino Linotype" w:eastAsia="Calibri" w:hAnsi="Palatino Linotype" w:cs="Tahoma"/>
          <w:bCs/>
          <w:sz w:val="22"/>
          <w:szCs w:val="22"/>
          <w:lang w:eastAsia="en-US"/>
        </w:rPr>
        <w:t xml:space="preserve">ecurrente, se </w:t>
      </w:r>
      <w:r w:rsidR="00C61451" w:rsidRPr="00AF6580">
        <w:rPr>
          <w:rFonts w:ascii="Palatino Linotype" w:eastAsia="Calibri" w:hAnsi="Palatino Linotype" w:cs="Tahoma"/>
          <w:bCs/>
          <w:sz w:val="22"/>
          <w:szCs w:val="22"/>
          <w:lang w:eastAsia="en-US"/>
        </w:rPr>
        <w:t xml:space="preserve">limitó </w:t>
      </w:r>
      <w:r w:rsidRPr="00AF6580">
        <w:rPr>
          <w:rFonts w:ascii="Palatino Linotype" w:eastAsia="Calibri" w:hAnsi="Palatino Linotype" w:cs="Tahoma"/>
          <w:bCs/>
          <w:sz w:val="22"/>
          <w:szCs w:val="22"/>
          <w:lang w:eastAsia="en-US"/>
        </w:rPr>
        <w:t xml:space="preserve">a </w:t>
      </w:r>
      <w:r w:rsidR="00F74E05">
        <w:rPr>
          <w:rFonts w:ascii="Palatino Linotype" w:eastAsia="Calibri" w:hAnsi="Palatino Linotype" w:cs="Tahoma"/>
          <w:bCs/>
          <w:sz w:val="22"/>
          <w:szCs w:val="22"/>
          <w:lang w:eastAsia="en-US"/>
        </w:rPr>
        <w:t>señalar que los requerimientos vertidos en la solicitud se trataban de cuestionamientos y manifestaciones subjetivas</w:t>
      </w:r>
      <w:r w:rsidR="004025AC">
        <w:rPr>
          <w:rFonts w:ascii="Palatino Linotype" w:eastAsia="Calibri" w:hAnsi="Palatino Linotype" w:cs="Tahoma"/>
          <w:bCs/>
          <w:sz w:val="22"/>
          <w:szCs w:val="22"/>
          <w:lang w:eastAsia="en-US"/>
        </w:rPr>
        <w:t>;</w:t>
      </w:r>
      <w:r w:rsidR="00F74E05">
        <w:rPr>
          <w:rFonts w:ascii="Palatino Linotype" w:eastAsia="Calibri" w:hAnsi="Palatino Linotype" w:cs="Tahoma"/>
          <w:bCs/>
          <w:sz w:val="22"/>
          <w:szCs w:val="22"/>
          <w:lang w:eastAsia="en-US"/>
        </w:rPr>
        <w:t xml:space="preserve"> </w:t>
      </w:r>
      <w:r w:rsidR="0081616D">
        <w:rPr>
          <w:rFonts w:ascii="Palatino Linotype" w:eastAsia="Calibri" w:hAnsi="Palatino Linotype" w:cs="Tahoma"/>
          <w:bCs/>
          <w:sz w:val="22"/>
          <w:szCs w:val="22"/>
          <w:lang w:eastAsia="en-US"/>
        </w:rPr>
        <w:t>s</w:t>
      </w:r>
      <w:r w:rsidRPr="00AF6580">
        <w:rPr>
          <w:rFonts w:ascii="Palatino Linotype" w:eastAsia="Calibri" w:hAnsi="Palatino Linotype" w:cs="Tahoma"/>
          <w:bCs/>
          <w:sz w:val="22"/>
          <w:szCs w:val="22"/>
          <w:lang w:eastAsia="en-US"/>
        </w:rPr>
        <w:t xml:space="preserve">in embargo, </w:t>
      </w:r>
      <w:r w:rsidR="008B7EF3">
        <w:rPr>
          <w:rFonts w:ascii="Palatino Linotype" w:eastAsia="Calibri" w:hAnsi="Palatino Linotype" w:cs="Tahoma"/>
          <w:bCs/>
          <w:sz w:val="22"/>
          <w:szCs w:val="22"/>
          <w:lang w:eastAsia="en-US"/>
        </w:rPr>
        <w:t xml:space="preserve">tal como consta en las documentales que integran el expediente, </w:t>
      </w:r>
      <w:r w:rsidR="00C25C49" w:rsidRPr="00AF6580">
        <w:rPr>
          <w:rFonts w:ascii="Palatino Linotype" w:eastAsia="Calibri" w:hAnsi="Palatino Linotype" w:cs="Tahoma"/>
          <w:bCs/>
          <w:sz w:val="22"/>
          <w:szCs w:val="22"/>
          <w:lang w:eastAsia="en-US"/>
        </w:rPr>
        <w:t>mediante su Informe Justificado</w:t>
      </w:r>
      <w:r w:rsidR="004002FF">
        <w:rPr>
          <w:rFonts w:ascii="Palatino Linotype" w:eastAsia="Calibri" w:hAnsi="Palatino Linotype" w:cs="Tahoma"/>
          <w:bCs/>
          <w:sz w:val="22"/>
          <w:szCs w:val="22"/>
          <w:lang w:eastAsia="en-US"/>
        </w:rPr>
        <w:t>,</w:t>
      </w:r>
      <w:r w:rsidR="00C25C49" w:rsidRPr="00AF6580">
        <w:rPr>
          <w:rFonts w:ascii="Palatino Linotype" w:eastAsia="Calibri" w:hAnsi="Palatino Linotype" w:cs="Tahoma"/>
          <w:bCs/>
          <w:sz w:val="22"/>
          <w:szCs w:val="22"/>
          <w:lang w:eastAsia="en-US"/>
        </w:rPr>
        <w:t xml:space="preserve"> </w:t>
      </w:r>
      <w:r w:rsidR="00C97307" w:rsidRPr="00AF6580">
        <w:rPr>
          <w:rFonts w:ascii="Palatino Linotype" w:eastAsia="Calibri" w:hAnsi="Palatino Linotype" w:cs="Tahoma"/>
          <w:bCs/>
          <w:sz w:val="22"/>
          <w:szCs w:val="22"/>
          <w:lang w:eastAsia="en-US"/>
        </w:rPr>
        <w:t xml:space="preserve">el </w:t>
      </w:r>
      <w:r w:rsidR="00E62E3B" w:rsidRPr="00AF6580">
        <w:rPr>
          <w:rFonts w:ascii="Palatino Linotype" w:eastAsia="Calibri" w:hAnsi="Palatino Linotype" w:cs="Tahoma"/>
          <w:bCs/>
          <w:sz w:val="22"/>
          <w:szCs w:val="22"/>
          <w:lang w:eastAsia="en-US"/>
        </w:rPr>
        <w:t>Sujeto Obligado</w:t>
      </w:r>
      <w:r w:rsidR="00C97307" w:rsidRPr="00AF6580">
        <w:rPr>
          <w:rFonts w:ascii="Palatino Linotype" w:eastAsia="Calibri" w:hAnsi="Palatino Linotype" w:cs="Tahoma"/>
          <w:bCs/>
          <w:sz w:val="22"/>
          <w:szCs w:val="22"/>
          <w:lang w:eastAsia="en-US"/>
        </w:rPr>
        <w:t xml:space="preserve"> </w:t>
      </w:r>
      <w:r w:rsidR="00A768CC">
        <w:rPr>
          <w:rFonts w:ascii="Palatino Linotype" w:eastAsia="Calibri" w:hAnsi="Palatino Linotype" w:cs="Tahoma"/>
          <w:bCs/>
          <w:sz w:val="22"/>
          <w:szCs w:val="22"/>
          <w:lang w:eastAsia="en-US"/>
        </w:rPr>
        <w:t>ampli</w:t>
      </w:r>
      <w:r w:rsidR="003A422C">
        <w:rPr>
          <w:rFonts w:ascii="Palatino Linotype" w:eastAsia="Calibri" w:hAnsi="Palatino Linotype" w:cs="Tahoma"/>
          <w:bCs/>
          <w:sz w:val="22"/>
          <w:szCs w:val="22"/>
          <w:lang w:eastAsia="en-US"/>
        </w:rPr>
        <w:t>ó</w:t>
      </w:r>
      <w:r w:rsidR="00A768CC">
        <w:rPr>
          <w:rFonts w:ascii="Palatino Linotype" w:eastAsia="Calibri" w:hAnsi="Palatino Linotype" w:cs="Tahoma"/>
          <w:bCs/>
          <w:sz w:val="22"/>
          <w:szCs w:val="22"/>
          <w:lang w:eastAsia="en-US"/>
        </w:rPr>
        <w:t xml:space="preserve"> su respuesta </w:t>
      </w:r>
      <w:r w:rsidR="00F74E05">
        <w:rPr>
          <w:rFonts w:ascii="Palatino Linotype" w:eastAsia="Calibri" w:hAnsi="Palatino Linotype" w:cs="Tahoma"/>
          <w:bCs/>
          <w:sz w:val="22"/>
          <w:szCs w:val="22"/>
          <w:lang w:eastAsia="en-US"/>
        </w:rPr>
        <w:t xml:space="preserve">e </w:t>
      </w:r>
      <w:r w:rsidR="00611002">
        <w:rPr>
          <w:rFonts w:ascii="Palatino Linotype" w:eastAsia="Calibri" w:hAnsi="Palatino Linotype" w:cs="Tahoma"/>
          <w:bCs/>
          <w:sz w:val="22"/>
          <w:szCs w:val="22"/>
          <w:lang w:eastAsia="en-US"/>
        </w:rPr>
        <w:t xml:space="preserve">informó </w:t>
      </w:r>
      <w:r w:rsidR="00420CD8">
        <w:rPr>
          <w:rFonts w:ascii="Palatino Linotype" w:eastAsia="Calibri" w:hAnsi="Palatino Linotype" w:cs="Tahoma"/>
          <w:bCs/>
          <w:sz w:val="22"/>
          <w:szCs w:val="22"/>
          <w:lang w:eastAsia="en-US"/>
        </w:rPr>
        <w:t>las atribuciones de los Comités de Transparencia y Funciones de</w:t>
      </w:r>
      <w:r w:rsidR="004025AC">
        <w:rPr>
          <w:rFonts w:ascii="Palatino Linotype" w:eastAsia="Calibri" w:hAnsi="Palatino Linotype" w:cs="Tahoma"/>
          <w:bCs/>
          <w:sz w:val="22"/>
          <w:szCs w:val="22"/>
          <w:lang w:eastAsia="en-US"/>
        </w:rPr>
        <w:t xml:space="preserve"> las Unidades de Transparencia, de conformidad con la ley aplicable.</w:t>
      </w:r>
    </w:p>
    <w:p w14:paraId="119F919F" w14:textId="77777777" w:rsidR="002A3D21" w:rsidRDefault="002A3D21" w:rsidP="007479DD">
      <w:pPr>
        <w:spacing w:line="360" w:lineRule="auto"/>
        <w:ind w:right="-93"/>
        <w:jc w:val="both"/>
        <w:rPr>
          <w:rFonts w:ascii="Palatino Linotype" w:eastAsia="Calibri" w:hAnsi="Palatino Linotype" w:cs="Tahoma"/>
          <w:bCs/>
          <w:sz w:val="22"/>
          <w:szCs w:val="22"/>
          <w:lang w:eastAsia="en-US"/>
        </w:rPr>
      </w:pPr>
    </w:p>
    <w:p w14:paraId="59764700" w14:textId="5FC29108" w:rsidR="00B44807" w:rsidRDefault="00EC64AC" w:rsidP="0039286F">
      <w:pPr>
        <w:spacing w:line="360" w:lineRule="auto"/>
        <w:jc w:val="both"/>
        <w:rPr>
          <w:rFonts w:ascii="Palatino Linotype" w:hAnsi="Palatino Linotype" w:cs="Tahoma"/>
          <w:sz w:val="22"/>
          <w:szCs w:val="22"/>
        </w:rPr>
      </w:pPr>
      <w:r w:rsidRPr="00EC64AC">
        <w:rPr>
          <w:rFonts w:ascii="Palatino Linotype" w:hAnsi="Palatino Linotype" w:cs="Arial"/>
          <w:sz w:val="22"/>
          <w:szCs w:val="22"/>
        </w:rPr>
        <w:t xml:space="preserve">Primeramente, </w:t>
      </w:r>
      <w:r>
        <w:rPr>
          <w:rFonts w:ascii="Palatino Linotype" w:hAnsi="Palatino Linotype" w:cs="Arial"/>
          <w:sz w:val="22"/>
          <w:szCs w:val="22"/>
        </w:rPr>
        <w:t xml:space="preserve">es necesario identificar que conforme a los alegatos de la parte Recurrente, el Sujeto Obligado, vía informe justificado y </w:t>
      </w:r>
      <w:r w:rsidRPr="00EC64AC">
        <w:rPr>
          <w:rFonts w:ascii="Palatino Linotype" w:hAnsi="Palatino Linotype" w:cs="Arial"/>
          <w:sz w:val="22"/>
          <w:szCs w:val="22"/>
        </w:rPr>
        <w:t>de las constancias que obran en el presente expediente,</w:t>
      </w:r>
      <w:r w:rsidR="00420CD8">
        <w:rPr>
          <w:rFonts w:ascii="Palatino Linotype" w:hAnsi="Palatino Linotype" w:cs="Arial"/>
          <w:sz w:val="22"/>
          <w:szCs w:val="22"/>
        </w:rPr>
        <w:t xml:space="preserve"> el Recurrente </w:t>
      </w:r>
      <w:r w:rsidR="004025AC">
        <w:rPr>
          <w:rFonts w:ascii="Palatino Linotype" w:hAnsi="Palatino Linotype" w:cs="Arial"/>
          <w:sz w:val="22"/>
          <w:szCs w:val="22"/>
        </w:rPr>
        <w:t xml:space="preserve">pretende </w:t>
      </w:r>
      <w:r w:rsidR="00420CD8">
        <w:rPr>
          <w:rFonts w:ascii="Palatino Linotype" w:hAnsi="Palatino Linotype" w:cs="Arial"/>
          <w:sz w:val="22"/>
          <w:szCs w:val="22"/>
        </w:rPr>
        <w:t xml:space="preserve">identificar el documento donde obre información y/o fundamentación respecto del actuar de los </w:t>
      </w:r>
      <w:r w:rsidR="00B44807">
        <w:rPr>
          <w:rFonts w:ascii="Palatino Linotype" w:hAnsi="Palatino Linotype" w:cs="Arial"/>
          <w:sz w:val="22"/>
          <w:szCs w:val="22"/>
        </w:rPr>
        <w:t xml:space="preserve">Titulares de las Unidades de Transparencia y atribuciones del Comité de Transparencia, por lo que en ese </w:t>
      </w:r>
      <w:r w:rsidRPr="00EC64AC">
        <w:rPr>
          <w:rFonts w:ascii="Palatino Linotype" w:hAnsi="Palatino Linotype" w:cs="Arial"/>
          <w:sz w:val="22"/>
          <w:szCs w:val="22"/>
        </w:rPr>
        <w:t xml:space="preserve">orden de ideas, </w:t>
      </w:r>
      <w:r w:rsidR="00B44807">
        <w:rPr>
          <w:rFonts w:ascii="Palatino Linotype" w:hAnsi="Palatino Linotype" w:cs="Arial"/>
          <w:sz w:val="22"/>
          <w:szCs w:val="22"/>
        </w:rPr>
        <w:t xml:space="preserve">resulta aplicable </w:t>
      </w:r>
      <w:r w:rsidR="0039286F" w:rsidRPr="00F80975">
        <w:rPr>
          <w:rFonts w:ascii="Palatino Linotype" w:hAnsi="Palatino Linotype" w:cs="Tahoma"/>
          <w:sz w:val="22"/>
          <w:szCs w:val="22"/>
        </w:rPr>
        <w:t xml:space="preserve">el Criterio </w:t>
      </w:r>
      <w:r w:rsidR="00B44807">
        <w:rPr>
          <w:rFonts w:ascii="Palatino Linotype" w:hAnsi="Palatino Linotype" w:cs="Tahoma"/>
          <w:sz w:val="22"/>
          <w:szCs w:val="22"/>
        </w:rPr>
        <w:t>16/17</w:t>
      </w:r>
      <w:r w:rsidR="0039286F" w:rsidRPr="00F80975">
        <w:rPr>
          <w:rFonts w:ascii="Palatino Linotype" w:hAnsi="Palatino Linotype" w:cs="Tahoma"/>
          <w:sz w:val="22"/>
          <w:szCs w:val="22"/>
        </w:rPr>
        <w:t xml:space="preserve"> emitido por el I</w:t>
      </w:r>
      <w:r w:rsidR="00B44807">
        <w:rPr>
          <w:rFonts w:ascii="Palatino Linotype" w:hAnsi="Palatino Linotype" w:cs="Tahoma"/>
          <w:sz w:val="22"/>
          <w:szCs w:val="22"/>
        </w:rPr>
        <w:t xml:space="preserve">nstituto </w:t>
      </w:r>
      <w:r w:rsidR="0039286F" w:rsidRPr="00F80975">
        <w:rPr>
          <w:rFonts w:ascii="Palatino Linotype" w:hAnsi="Palatino Linotype" w:cs="Tahoma"/>
          <w:sz w:val="22"/>
          <w:szCs w:val="22"/>
        </w:rPr>
        <w:t>N</w:t>
      </w:r>
      <w:r w:rsidR="00B44807">
        <w:rPr>
          <w:rFonts w:ascii="Palatino Linotype" w:hAnsi="Palatino Linotype" w:cs="Tahoma"/>
          <w:sz w:val="22"/>
          <w:szCs w:val="22"/>
        </w:rPr>
        <w:t xml:space="preserve">acional de Transparencia y </w:t>
      </w:r>
      <w:r w:rsidR="0039286F" w:rsidRPr="00F80975">
        <w:rPr>
          <w:rFonts w:ascii="Palatino Linotype" w:hAnsi="Palatino Linotype" w:cs="Tahoma"/>
          <w:sz w:val="22"/>
          <w:szCs w:val="22"/>
        </w:rPr>
        <w:t>A</w:t>
      </w:r>
      <w:r w:rsidR="00B44807">
        <w:rPr>
          <w:rFonts w:ascii="Palatino Linotype" w:hAnsi="Palatino Linotype" w:cs="Tahoma"/>
          <w:sz w:val="22"/>
          <w:szCs w:val="22"/>
        </w:rPr>
        <w:t xml:space="preserve">cceso a la </w:t>
      </w:r>
      <w:r w:rsidR="0039286F" w:rsidRPr="00F80975">
        <w:rPr>
          <w:rFonts w:ascii="Palatino Linotype" w:hAnsi="Palatino Linotype" w:cs="Tahoma"/>
          <w:sz w:val="22"/>
          <w:szCs w:val="22"/>
        </w:rPr>
        <w:t>I</w:t>
      </w:r>
      <w:r w:rsidR="00B44807">
        <w:rPr>
          <w:rFonts w:ascii="Palatino Linotype" w:hAnsi="Palatino Linotype" w:cs="Tahoma"/>
          <w:sz w:val="22"/>
          <w:szCs w:val="22"/>
        </w:rPr>
        <w:t>nformación y Protección de Datos Personales</w:t>
      </w:r>
      <w:r w:rsidR="0039286F" w:rsidRPr="00F80975">
        <w:rPr>
          <w:rFonts w:ascii="Palatino Linotype" w:hAnsi="Palatino Linotype" w:cs="Tahoma"/>
          <w:sz w:val="22"/>
          <w:szCs w:val="22"/>
        </w:rPr>
        <w:t>,</w:t>
      </w:r>
      <w:r w:rsidR="00B44807">
        <w:rPr>
          <w:rFonts w:ascii="Palatino Linotype" w:hAnsi="Palatino Linotype" w:cs="Tahoma"/>
          <w:sz w:val="22"/>
          <w:szCs w:val="22"/>
        </w:rPr>
        <w:t xml:space="preserve"> mismo que señala lo siguiente:</w:t>
      </w:r>
    </w:p>
    <w:p w14:paraId="622719F5" w14:textId="77777777" w:rsidR="00B44807" w:rsidRDefault="00B44807" w:rsidP="00B44807">
      <w:pPr>
        <w:spacing w:line="360" w:lineRule="auto"/>
        <w:ind w:left="567" w:right="567"/>
        <w:jc w:val="both"/>
        <w:rPr>
          <w:rFonts w:ascii="Palatino Linotype" w:hAnsi="Palatino Linotype" w:cs="Tahoma"/>
          <w:b/>
        </w:rPr>
      </w:pPr>
    </w:p>
    <w:p w14:paraId="049951E9" w14:textId="77777777" w:rsidR="00B44807" w:rsidRPr="00B44807" w:rsidRDefault="00B44807" w:rsidP="00B44807">
      <w:pPr>
        <w:spacing w:line="360" w:lineRule="auto"/>
        <w:ind w:left="567" w:right="567"/>
        <w:jc w:val="both"/>
        <w:rPr>
          <w:rFonts w:ascii="Palatino Linotype" w:hAnsi="Palatino Linotype" w:cs="Tahoma"/>
        </w:rPr>
      </w:pPr>
      <w:r w:rsidRPr="00B44807">
        <w:rPr>
          <w:rFonts w:ascii="Palatino Linotype" w:hAnsi="Palatino Linotype" w:cs="Tahoma"/>
          <w:b/>
        </w:rPr>
        <w:t>Expresión documental.</w:t>
      </w:r>
      <w:r w:rsidRPr="00B44807">
        <w:rPr>
          <w:rFonts w:ascii="Palatino Linotype" w:hAnsi="Palatino Linotype" w:cs="Tahoma"/>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15F11E1" w14:textId="77777777" w:rsidR="00B44807" w:rsidRDefault="00B44807" w:rsidP="0039286F">
      <w:pPr>
        <w:spacing w:line="360" w:lineRule="auto"/>
        <w:jc w:val="both"/>
        <w:rPr>
          <w:rFonts w:ascii="Palatino Linotype" w:hAnsi="Palatino Linotype" w:cs="Tahoma"/>
          <w:sz w:val="22"/>
          <w:szCs w:val="22"/>
        </w:rPr>
      </w:pPr>
    </w:p>
    <w:p w14:paraId="6D9621EF" w14:textId="6F4D0402" w:rsidR="0039286F" w:rsidRDefault="00B44807" w:rsidP="0039286F">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 base en lo expuesto y con lo señalado por parte del Sujeto Obligado en su Informe Justificado se da por colmado el derecho de acceso a la información del Recurrente al proporcionarle el documento que da cuenta de lo que solicita es decir la Ley de Transparencia y Acceso a la Información Pública del Estado de México y Municipios en la que se establecen las atribuciones del Comité de Transparencia y las funciones d</w:t>
      </w:r>
      <w:r w:rsidR="00EB73E6">
        <w:rPr>
          <w:rFonts w:ascii="Palatino Linotype" w:hAnsi="Palatino Linotype" w:cs="Tahoma"/>
          <w:sz w:val="22"/>
          <w:szCs w:val="22"/>
        </w:rPr>
        <w:t>e las Unidades de Transparencia y la Ley de Protección de Datos Personales en Posesión de sujetos Obligados del Estado de México y Municipios.</w:t>
      </w:r>
      <w:r w:rsidR="0039286F">
        <w:rPr>
          <w:rFonts w:ascii="Palatino Linotype" w:hAnsi="Palatino Linotype" w:cs="Tahoma"/>
          <w:sz w:val="22"/>
          <w:szCs w:val="22"/>
        </w:rPr>
        <w:t xml:space="preserve"> </w:t>
      </w:r>
    </w:p>
    <w:p w14:paraId="3997051A" w14:textId="77777777" w:rsidR="0039286F" w:rsidRDefault="0039286F" w:rsidP="0039286F">
      <w:pPr>
        <w:spacing w:line="360" w:lineRule="auto"/>
        <w:jc w:val="both"/>
        <w:rPr>
          <w:rFonts w:ascii="Palatino Linotype" w:hAnsi="Palatino Linotype" w:cs="Tahoma"/>
          <w:sz w:val="22"/>
          <w:szCs w:val="22"/>
        </w:rPr>
      </w:pPr>
    </w:p>
    <w:p w14:paraId="01D686C2" w14:textId="789FBAC8" w:rsidR="001934DC" w:rsidRDefault="001934DC" w:rsidP="0039286F">
      <w:pPr>
        <w:spacing w:line="360" w:lineRule="auto"/>
        <w:jc w:val="both"/>
        <w:rPr>
          <w:rFonts w:ascii="Palatino Linotype" w:hAnsi="Palatino Linotype" w:cs="Tahoma"/>
          <w:sz w:val="22"/>
          <w:szCs w:val="22"/>
        </w:rPr>
      </w:pPr>
      <w:r>
        <w:rPr>
          <w:rFonts w:ascii="Palatino Linotype" w:hAnsi="Palatino Linotype" w:cs="Tahoma"/>
          <w:sz w:val="22"/>
          <w:szCs w:val="22"/>
        </w:rPr>
        <w:t>Aunado a lo anterior, es de resaltar que los</w:t>
      </w:r>
      <w:r w:rsidRPr="001934DC">
        <w:rPr>
          <w:rFonts w:ascii="Palatino Linotype" w:hAnsi="Palatino Linotype" w:cs="Tahoma"/>
          <w:sz w:val="22"/>
          <w:szCs w:val="22"/>
        </w:rPr>
        <w:t xml:space="preserve"> sujetos obligados únicamente entregarán la información que obre en sus archivos y en el estado en el que se encuentre, </w:t>
      </w:r>
      <w:r w:rsidR="00EB73E6">
        <w:rPr>
          <w:rFonts w:ascii="Palatino Linotype" w:hAnsi="Palatino Linotype" w:cs="Tahoma"/>
          <w:sz w:val="22"/>
          <w:szCs w:val="22"/>
        </w:rPr>
        <w:t xml:space="preserve">ya que </w:t>
      </w:r>
      <w:r w:rsidRPr="001934DC">
        <w:rPr>
          <w:rFonts w:ascii="Palatino Linotype" w:hAnsi="Palatino Linotype" w:cs="Tahoma"/>
          <w:sz w:val="22"/>
          <w:szCs w:val="22"/>
        </w:rPr>
        <w:t xml:space="preserve">no cuentan con la obligación de generarla conforme al interés del solicitante. En cuanto a la información que solicitó el particular, se tiene que el Sujeto Obligado no cuenta con fuente obligacional para generar la información al grado de detalle que se </w:t>
      </w:r>
      <w:r>
        <w:rPr>
          <w:rFonts w:ascii="Palatino Linotype" w:hAnsi="Palatino Linotype" w:cs="Tahoma"/>
          <w:sz w:val="22"/>
          <w:szCs w:val="22"/>
        </w:rPr>
        <w:t>requirió.</w:t>
      </w:r>
    </w:p>
    <w:p w14:paraId="012C7B57" w14:textId="77777777" w:rsidR="001934DC" w:rsidRDefault="001934DC" w:rsidP="0039286F">
      <w:pPr>
        <w:spacing w:line="360" w:lineRule="auto"/>
        <w:jc w:val="both"/>
        <w:rPr>
          <w:rFonts w:ascii="Palatino Linotype" w:hAnsi="Palatino Linotype" w:cs="Tahoma"/>
          <w:sz w:val="22"/>
          <w:szCs w:val="22"/>
        </w:rPr>
      </w:pPr>
    </w:p>
    <w:p w14:paraId="3F6C6134" w14:textId="0F767C46" w:rsidR="001934DC" w:rsidRPr="001934DC" w:rsidRDefault="001934DC" w:rsidP="001934DC">
      <w:pPr>
        <w:spacing w:line="360" w:lineRule="auto"/>
        <w:jc w:val="both"/>
        <w:rPr>
          <w:rFonts w:ascii="Palatino Linotype" w:hAnsi="Palatino Linotype" w:cs="Tahoma"/>
          <w:sz w:val="22"/>
          <w:szCs w:val="22"/>
        </w:rPr>
      </w:pPr>
      <w:r w:rsidRPr="001934DC">
        <w:rPr>
          <w:rFonts w:ascii="Palatino Linotype" w:hAnsi="Palatino Linotype" w:cs="Tahoma"/>
          <w:sz w:val="22"/>
          <w:szCs w:val="22"/>
        </w:rPr>
        <w:t>Entregar la información tal como fue solicitada excede el ejercicio fundamental del acceso a la información, pues obliga a las autoridades a generar nuevos documentos para satisfacer los requerimientos.</w:t>
      </w:r>
    </w:p>
    <w:p w14:paraId="3BD9E7A6" w14:textId="77777777" w:rsidR="001934DC" w:rsidRPr="001934DC" w:rsidRDefault="001934DC" w:rsidP="001934DC">
      <w:pPr>
        <w:spacing w:line="360" w:lineRule="auto"/>
        <w:jc w:val="both"/>
        <w:rPr>
          <w:rFonts w:ascii="Palatino Linotype" w:hAnsi="Palatino Linotype" w:cs="Tahoma"/>
          <w:sz w:val="22"/>
          <w:szCs w:val="22"/>
        </w:rPr>
      </w:pPr>
    </w:p>
    <w:p w14:paraId="3198AA64" w14:textId="077FE8BD" w:rsidR="001934DC" w:rsidRDefault="001934DC" w:rsidP="001934DC">
      <w:pPr>
        <w:spacing w:line="360" w:lineRule="auto"/>
        <w:jc w:val="both"/>
        <w:rPr>
          <w:rFonts w:ascii="Palatino Linotype" w:hAnsi="Palatino Linotype" w:cs="Tahoma"/>
          <w:sz w:val="22"/>
          <w:szCs w:val="22"/>
        </w:rPr>
      </w:pPr>
      <w:r w:rsidRPr="001934DC">
        <w:rPr>
          <w:rFonts w:ascii="Palatino Linotype" w:hAnsi="Palatino Linotype" w:cs="Tahoma"/>
          <w:sz w:val="22"/>
          <w:szCs w:val="22"/>
        </w:rPr>
        <w:t>Robustece lo anterior el criterio 13/17 emitido por el Instituto Nacional de Transparencia, Acceso a la Información y Protección de Datos personales:</w:t>
      </w:r>
    </w:p>
    <w:p w14:paraId="51104FB5" w14:textId="77777777" w:rsidR="001934DC" w:rsidRPr="001934DC" w:rsidRDefault="001934DC" w:rsidP="001934DC">
      <w:pPr>
        <w:spacing w:line="360" w:lineRule="auto"/>
        <w:jc w:val="both"/>
        <w:rPr>
          <w:rFonts w:ascii="Palatino Linotype" w:hAnsi="Palatino Linotype" w:cs="Tahoma"/>
          <w:sz w:val="22"/>
          <w:szCs w:val="22"/>
        </w:rPr>
      </w:pPr>
    </w:p>
    <w:p w14:paraId="144CBC0D" w14:textId="48CD850F" w:rsidR="001934DC" w:rsidRDefault="001934DC" w:rsidP="001934DC">
      <w:pPr>
        <w:spacing w:line="360" w:lineRule="auto"/>
        <w:ind w:left="567" w:right="567"/>
        <w:jc w:val="both"/>
        <w:rPr>
          <w:rFonts w:ascii="Palatino Linotype" w:hAnsi="Palatino Linotype" w:cs="Tahoma"/>
        </w:rPr>
      </w:pPr>
      <w:r w:rsidRPr="001934DC">
        <w:rPr>
          <w:rFonts w:ascii="Palatino Linotype" w:hAnsi="Palatino Linotype" w:cs="Tahoma"/>
          <w:b/>
        </w:rPr>
        <w:t>No existe obligación de elaborar documentos ad hoc para atender las solicitudes de acceso a la información</w:t>
      </w:r>
      <w:r w:rsidRPr="001934DC">
        <w:rPr>
          <w:rFonts w:ascii="Palatino Linotype" w:hAnsi="Palatino Linotype" w:cs="Tahoma"/>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1934DC">
        <w:rPr>
          <w:rFonts w:ascii="Palatino Linotype" w:hAnsi="Palatino Linotype" w:cs="Tahoma"/>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CD86D1" w14:textId="77777777" w:rsidR="00EB73E6" w:rsidRPr="001934DC" w:rsidRDefault="00EB73E6" w:rsidP="001934DC">
      <w:pPr>
        <w:spacing w:line="360" w:lineRule="auto"/>
        <w:ind w:left="567" w:right="567"/>
        <w:jc w:val="both"/>
        <w:rPr>
          <w:rFonts w:ascii="Palatino Linotype" w:hAnsi="Palatino Linotype" w:cs="Tahoma"/>
        </w:rPr>
      </w:pPr>
    </w:p>
    <w:p w14:paraId="597F6FAA" w14:textId="484D7A86" w:rsidR="00FD4C0B" w:rsidRPr="002A7A2C" w:rsidRDefault="00EC64AC" w:rsidP="00054FDD">
      <w:pPr>
        <w:pStyle w:val="Prrafodelista"/>
        <w:autoSpaceDE w:val="0"/>
        <w:autoSpaceDN w:val="0"/>
        <w:adjustRightInd w:val="0"/>
        <w:spacing w:line="360" w:lineRule="auto"/>
        <w:ind w:left="0"/>
        <w:jc w:val="both"/>
        <w:rPr>
          <w:rFonts w:ascii="Palatino Linotype" w:hAnsi="Palatino Linotype" w:cs="Arial"/>
          <w:szCs w:val="22"/>
        </w:rPr>
      </w:pPr>
      <w:r w:rsidRPr="00EC64AC">
        <w:rPr>
          <w:rFonts w:ascii="Palatino Linotype" w:hAnsi="Palatino Linotype" w:cs="Arial"/>
          <w:szCs w:val="22"/>
        </w:rPr>
        <w:t xml:space="preserve">Por lo tanto, </w:t>
      </w:r>
      <w:r w:rsidR="0040764D">
        <w:rPr>
          <w:rFonts w:ascii="Palatino Linotype" w:hAnsi="Palatino Linotype" w:cs="Arial"/>
          <w:szCs w:val="22"/>
        </w:rPr>
        <w:t xml:space="preserve">como se expuso previamente, </w:t>
      </w:r>
      <w:r w:rsidR="0040764D" w:rsidRPr="002A7A2C">
        <w:rPr>
          <w:rFonts w:ascii="Palatino Linotype" w:hAnsi="Palatino Linotype" w:cs="Arial"/>
          <w:szCs w:val="22"/>
        </w:rPr>
        <w:t>el Sujeto Obligado m</w:t>
      </w:r>
      <w:r w:rsidR="00054FDD" w:rsidRPr="002A7A2C">
        <w:rPr>
          <w:rFonts w:ascii="Palatino Linotype" w:hAnsi="Palatino Linotype" w:cs="Arial"/>
          <w:szCs w:val="22"/>
        </w:rPr>
        <w:t xml:space="preserve">ediante </w:t>
      </w:r>
      <w:r w:rsidR="000B3FBF">
        <w:rPr>
          <w:rFonts w:ascii="Palatino Linotype" w:hAnsi="Palatino Linotype" w:cs="Arial"/>
          <w:szCs w:val="22"/>
        </w:rPr>
        <w:t>su</w:t>
      </w:r>
      <w:r w:rsidR="000B3FBF" w:rsidRPr="002A7A2C">
        <w:rPr>
          <w:rFonts w:ascii="Palatino Linotype" w:hAnsi="Palatino Linotype" w:cs="Arial"/>
          <w:szCs w:val="22"/>
        </w:rPr>
        <w:t xml:space="preserve"> </w:t>
      </w:r>
      <w:r w:rsidR="000B3FBF">
        <w:rPr>
          <w:rFonts w:ascii="Palatino Linotype" w:hAnsi="Palatino Linotype" w:cs="Arial"/>
          <w:szCs w:val="22"/>
        </w:rPr>
        <w:t>I</w:t>
      </w:r>
      <w:r w:rsidR="000B3FBF" w:rsidRPr="002A7A2C">
        <w:rPr>
          <w:rFonts w:ascii="Palatino Linotype" w:hAnsi="Palatino Linotype" w:cs="Arial"/>
          <w:szCs w:val="22"/>
        </w:rPr>
        <w:t xml:space="preserve">nforme </w:t>
      </w:r>
      <w:r w:rsidR="000B3FBF">
        <w:rPr>
          <w:rFonts w:ascii="Palatino Linotype" w:hAnsi="Palatino Linotype" w:cs="Arial"/>
          <w:szCs w:val="22"/>
        </w:rPr>
        <w:t>J</w:t>
      </w:r>
      <w:r w:rsidR="000B3FBF" w:rsidRPr="002A7A2C">
        <w:rPr>
          <w:rFonts w:ascii="Palatino Linotype" w:hAnsi="Palatino Linotype" w:cs="Arial"/>
          <w:szCs w:val="22"/>
        </w:rPr>
        <w:t>ustificado</w:t>
      </w:r>
      <w:r w:rsidR="00054FDD" w:rsidRPr="002A7A2C">
        <w:rPr>
          <w:rFonts w:ascii="Palatino Linotype" w:hAnsi="Palatino Linotype" w:cs="Arial"/>
          <w:szCs w:val="22"/>
        </w:rPr>
        <w:t xml:space="preserve">, </w:t>
      </w:r>
      <w:r w:rsidR="004025AC">
        <w:rPr>
          <w:rFonts w:ascii="Palatino Linotype" w:hAnsi="Palatino Linotype" w:cs="Arial"/>
          <w:szCs w:val="22"/>
        </w:rPr>
        <w:t>amplió</w:t>
      </w:r>
      <w:r w:rsidR="008C1A04">
        <w:rPr>
          <w:rFonts w:ascii="Palatino Linotype" w:hAnsi="Palatino Linotype" w:cs="Arial"/>
          <w:szCs w:val="22"/>
        </w:rPr>
        <w:t xml:space="preserve"> su respuesta dando por colmado lo solicitado por el Recurrente</w:t>
      </w:r>
      <w:r w:rsidR="000B3FBF">
        <w:rPr>
          <w:rFonts w:ascii="Palatino Linotype" w:hAnsi="Palatino Linotype" w:cs="Arial"/>
          <w:szCs w:val="22"/>
        </w:rPr>
        <w:t>,</w:t>
      </w:r>
      <w:r w:rsidR="000B3FBF" w:rsidRPr="002A7A2C">
        <w:rPr>
          <w:rFonts w:ascii="Palatino Linotype" w:hAnsi="Palatino Linotype" w:cs="Arial"/>
          <w:szCs w:val="22"/>
        </w:rPr>
        <w:t xml:space="preserve"> </w:t>
      </w:r>
      <w:r w:rsidR="008C1A04">
        <w:rPr>
          <w:rFonts w:ascii="Palatino Linotype" w:eastAsia="Calibri" w:hAnsi="Palatino Linotype" w:cs="Tahoma"/>
          <w:bCs/>
          <w:szCs w:val="22"/>
          <w:lang w:eastAsia="en-US"/>
        </w:rPr>
        <w:t>situación que de</w:t>
      </w:r>
      <w:r w:rsidR="0040764D" w:rsidRPr="002A7A2C">
        <w:rPr>
          <w:rFonts w:ascii="Palatino Linotype" w:eastAsia="Calibri" w:hAnsi="Palatino Linotype" w:cs="Tahoma"/>
          <w:bCs/>
          <w:szCs w:val="22"/>
          <w:lang w:eastAsia="en-US"/>
        </w:rPr>
        <w:t>ja sin materia</w:t>
      </w:r>
      <w:r w:rsidR="00054FDD" w:rsidRPr="002A7A2C">
        <w:rPr>
          <w:rFonts w:ascii="Palatino Linotype" w:eastAsia="Calibri" w:hAnsi="Palatino Linotype" w:cs="Tahoma"/>
          <w:bCs/>
          <w:szCs w:val="22"/>
          <w:lang w:eastAsia="en-US"/>
        </w:rPr>
        <w:t xml:space="preserve"> el presente </w:t>
      </w:r>
      <w:r w:rsidR="008E45EB">
        <w:rPr>
          <w:rFonts w:ascii="Palatino Linotype" w:eastAsia="Calibri" w:hAnsi="Palatino Linotype" w:cs="Tahoma"/>
          <w:bCs/>
          <w:szCs w:val="22"/>
          <w:lang w:eastAsia="en-US"/>
        </w:rPr>
        <w:t>R</w:t>
      </w:r>
      <w:r w:rsidR="008E45EB" w:rsidRPr="002A7A2C">
        <w:rPr>
          <w:rFonts w:ascii="Palatino Linotype" w:eastAsia="Calibri" w:hAnsi="Palatino Linotype" w:cs="Tahoma"/>
          <w:bCs/>
          <w:szCs w:val="22"/>
          <w:lang w:eastAsia="en-US"/>
        </w:rPr>
        <w:t xml:space="preserve">ecurso </w:t>
      </w:r>
      <w:r w:rsidR="00054FDD" w:rsidRPr="002A7A2C">
        <w:rPr>
          <w:rFonts w:ascii="Palatino Linotype" w:eastAsia="Calibri" w:hAnsi="Palatino Linotype" w:cs="Tahoma"/>
          <w:bCs/>
          <w:szCs w:val="22"/>
          <w:lang w:eastAsia="en-US"/>
        </w:rPr>
        <w:t xml:space="preserve">de </w:t>
      </w:r>
      <w:r w:rsidR="008E45EB">
        <w:rPr>
          <w:rFonts w:ascii="Palatino Linotype" w:eastAsia="Calibri" w:hAnsi="Palatino Linotype" w:cs="Tahoma"/>
          <w:bCs/>
          <w:szCs w:val="22"/>
          <w:lang w:eastAsia="en-US"/>
        </w:rPr>
        <w:t>R</w:t>
      </w:r>
      <w:r w:rsidR="008E45EB" w:rsidRPr="002A7A2C">
        <w:rPr>
          <w:rFonts w:ascii="Palatino Linotype" w:eastAsia="Calibri" w:hAnsi="Palatino Linotype" w:cs="Tahoma"/>
          <w:bCs/>
          <w:szCs w:val="22"/>
          <w:lang w:eastAsia="en-US"/>
        </w:rPr>
        <w:t>evisión</w:t>
      </w:r>
      <w:r w:rsidR="00054FDD" w:rsidRPr="002A7A2C">
        <w:rPr>
          <w:rFonts w:ascii="Palatino Linotype" w:eastAsia="Calibri" w:hAnsi="Palatino Linotype" w:cs="Tahoma"/>
          <w:bCs/>
          <w:szCs w:val="22"/>
          <w:lang w:eastAsia="en-US"/>
        </w:rPr>
        <w:t xml:space="preserve">, toda vez que el Sujeto Obligado colmó el derecho al pronunciarse sobre </w:t>
      </w:r>
      <w:r w:rsidR="008C1A04">
        <w:rPr>
          <w:rFonts w:ascii="Palatino Linotype" w:eastAsia="Calibri" w:hAnsi="Palatino Linotype" w:cs="Tahoma"/>
          <w:bCs/>
          <w:szCs w:val="22"/>
          <w:lang w:eastAsia="en-US"/>
        </w:rPr>
        <w:t>las atribuciones de los Comités de Transparencia y las funciones de las Unidades de Transparencia</w:t>
      </w:r>
      <w:r w:rsidR="00054FDD" w:rsidRPr="002A7A2C">
        <w:rPr>
          <w:rFonts w:ascii="Palatino Linotype" w:eastAsia="Calibri" w:hAnsi="Palatino Linotype" w:cs="Tahoma"/>
          <w:bCs/>
          <w:szCs w:val="22"/>
          <w:lang w:eastAsia="en-US"/>
        </w:rPr>
        <w:t xml:space="preserve">, </w:t>
      </w:r>
      <w:r w:rsidR="008E45EB">
        <w:rPr>
          <w:rFonts w:ascii="Palatino Linotype" w:eastAsia="Calibri" w:hAnsi="Palatino Linotype" w:cs="Tahoma"/>
          <w:bCs/>
          <w:szCs w:val="22"/>
          <w:lang w:eastAsia="en-US"/>
        </w:rPr>
        <w:t xml:space="preserve">en consecuencia, </w:t>
      </w:r>
      <w:r w:rsidR="00FD4C0B" w:rsidRPr="002A7A2C">
        <w:rPr>
          <w:rFonts w:ascii="Palatino Linotype" w:eastAsia="Calibri" w:hAnsi="Palatino Linotype" w:cs="Tahoma"/>
          <w:bCs/>
          <w:szCs w:val="22"/>
          <w:lang w:eastAsia="en-US"/>
        </w:rPr>
        <w:t>se estima que se actualiza el supuesto establecido en la fracción III</w:t>
      </w:r>
      <w:r w:rsidR="008E45EB">
        <w:rPr>
          <w:rFonts w:ascii="Palatino Linotype" w:eastAsia="Calibri" w:hAnsi="Palatino Linotype" w:cs="Tahoma"/>
          <w:bCs/>
          <w:szCs w:val="22"/>
          <w:lang w:eastAsia="en-US"/>
        </w:rPr>
        <w:t>,</w:t>
      </w:r>
      <w:r w:rsidR="00FD4C0B" w:rsidRPr="002A7A2C">
        <w:rPr>
          <w:rFonts w:ascii="Palatino Linotype" w:eastAsia="Calibri" w:hAnsi="Palatino Linotype" w:cs="Tahoma"/>
          <w:bCs/>
          <w:szCs w:val="22"/>
          <w:lang w:eastAsia="en-US"/>
        </w:rPr>
        <w:t xml:space="preserve"> del </w:t>
      </w:r>
      <w:r w:rsidR="008E45EB">
        <w:rPr>
          <w:rFonts w:ascii="Palatino Linotype" w:eastAsia="Calibri" w:hAnsi="Palatino Linotype" w:cs="Tahoma"/>
          <w:bCs/>
          <w:szCs w:val="22"/>
          <w:lang w:eastAsia="en-US"/>
        </w:rPr>
        <w:t>a</w:t>
      </w:r>
      <w:r w:rsidR="008E45EB" w:rsidRPr="002A7A2C">
        <w:rPr>
          <w:rFonts w:ascii="Palatino Linotype" w:eastAsia="Calibri" w:hAnsi="Palatino Linotype" w:cs="Tahoma"/>
          <w:bCs/>
          <w:szCs w:val="22"/>
          <w:lang w:eastAsia="en-US"/>
        </w:rPr>
        <w:t xml:space="preserve">rtículo </w:t>
      </w:r>
      <w:r w:rsidR="00FD4C0B" w:rsidRPr="002A7A2C">
        <w:rPr>
          <w:rFonts w:ascii="Palatino Linotype" w:eastAsia="Calibri" w:hAnsi="Palatino Linotype" w:cs="Tahoma"/>
          <w:bCs/>
          <w:szCs w:val="22"/>
          <w:lang w:eastAsia="en-US"/>
        </w:rPr>
        <w:t>192</w:t>
      </w:r>
      <w:r w:rsidR="008E45EB">
        <w:rPr>
          <w:rFonts w:ascii="Palatino Linotype" w:eastAsia="Calibri" w:hAnsi="Palatino Linotype" w:cs="Tahoma"/>
          <w:bCs/>
          <w:szCs w:val="22"/>
          <w:lang w:eastAsia="en-US"/>
        </w:rPr>
        <w:t>,</w:t>
      </w:r>
      <w:r w:rsidR="00FD4C0B" w:rsidRPr="002A7A2C">
        <w:rPr>
          <w:rFonts w:ascii="Palatino Linotype" w:eastAsia="Calibri" w:hAnsi="Palatino Linotype" w:cs="Tahoma"/>
          <w:bCs/>
          <w:szCs w:val="22"/>
          <w:lang w:eastAsia="en-US"/>
        </w:rPr>
        <w:t xml:space="preserve"> de la Ley de la materia, </w:t>
      </w:r>
      <w:r w:rsidR="008E45EB">
        <w:rPr>
          <w:rFonts w:ascii="Palatino Linotype" w:eastAsia="Calibri" w:hAnsi="Palatino Linotype" w:cs="Tahoma"/>
          <w:bCs/>
          <w:szCs w:val="22"/>
          <w:lang w:eastAsia="en-US"/>
        </w:rPr>
        <w:t>el cual</w:t>
      </w:r>
      <w:r w:rsidR="008E45EB" w:rsidRPr="002A7A2C">
        <w:rPr>
          <w:rFonts w:ascii="Palatino Linotype" w:eastAsia="Calibri" w:hAnsi="Palatino Linotype" w:cs="Tahoma"/>
          <w:bCs/>
          <w:szCs w:val="22"/>
          <w:lang w:eastAsia="en-US"/>
        </w:rPr>
        <w:t xml:space="preserve"> </w:t>
      </w:r>
      <w:r w:rsidR="00FD4C0B" w:rsidRPr="002A7A2C">
        <w:rPr>
          <w:rFonts w:ascii="Palatino Linotype" w:eastAsia="Calibri" w:hAnsi="Palatino Linotype" w:cs="Tahoma"/>
          <w:bCs/>
          <w:szCs w:val="22"/>
          <w:lang w:eastAsia="en-US"/>
        </w:rPr>
        <w:t>determina lo siguiente:</w:t>
      </w:r>
    </w:p>
    <w:p w14:paraId="48D23A19" w14:textId="77777777" w:rsidR="00FD4C0B" w:rsidRDefault="00FD4C0B" w:rsidP="007479DD">
      <w:pPr>
        <w:spacing w:line="360" w:lineRule="auto"/>
        <w:ind w:right="-93"/>
        <w:jc w:val="both"/>
        <w:rPr>
          <w:rFonts w:ascii="Palatino Linotype" w:eastAsia="Calibri" w:hAnsi="Palatino Linotype" w:cs="Tahoma"/>
          <w:bCs/>
          <w:sz w:val="22"/>
          <w:szCs w:val="22"/>
          <w:lang w:eastAsia="en-US"/>
        </w:rPr>
      </w:pPr>
    </w:p>
    <w:p w14:paraId="1BB350A5" w14:textId="77777777" w:rsid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
          <w:bCs/>
          <w:szCs w:val="22"/>
          <w:lang w:eastAsia="en-US"/>
        </w:rPr>
        <w:t>Artículo 192.</w:t>
      </w:r>
      <w:r w:rsidRPr="00FD4C0B">
        <w:rPr>
          <w:rFonts w:ascii="Palatino Linotype" w:eastAsia="Calibri" w:hAnsi="Palatino Linotype" w:cs="Tahoma"/>
          <w:bCs/>
          <w:szCs w:val="22"/>
          <w:lang w:eastAsia="en-US"/>
        </w:rPr>
        <w:t xml:space="preserve"> El recurso será </w:t>
      </w:r>
      <w:r w:rsidRPr="00FD4C0B">
        <w:rPr>
          <w:rFonts w:ascii="Palatino Linotype" w:eastAsia="Calibri" w:hAnsi="Palatino Linotype" w:cs="Tahoma"/>
          <w:b/>
          <w:bCs/>
          <w:szCs w:val="22"/>
          <w:u w:val="single"/>
          <w:lang w:eastAsia="en-US"/>
        </w:rPr>
        <w:t>sobreseído</w:t>
      </w:r>
      <w:r w:rsidRPr="00FD4C0B">
        <w:rPr>
          <w:rFonts w:ascii="Palatino Linotype" w:eastAsia="Calibri" w:hAnsi="Palatino Linotype" w:cs="Tahoma"/>
          <w:bCs/>
          <w:szCs w:val="22"/>
          <w:lang w:eastAsia="en-US"/>
        </w:rPr>
        <w:t xml:space="preserve">, en todo o en parte, </w:t>
      </w:r>
      <w:r w:rsidRPr="00FD4C0B">
        <w:rPr>
          <w:rFonts w:ascii="Palatino Linotype" w:eastAsia="Calibri" w:hAnsi="Palatino Linotype" w:cs="Tahoma"/>
          <w:b/>
          <w:bCs/>
          <w:szCs w:val="22"/>
          <w:lang w:eastAsia="en-US"/>
        </w:rPr>
        <w:t xml:space="preserve">cuando </w:t>
      </w:r>
      <w:r w:rsidRPr="00FD4C0B">
        <w:rPr>
          <w:rFonts w:ascii="Palatino Linotype" w:eastAsia="Calibri" w:hAnsi="Palatino Linotype" w:cs="Tahoma"/>
          <w:bCs/>
          <w:szCs w:val="22"/>
          <w:lang w:eastAsia="en-US"/>
        </w:rPr>
        <w:t>una vez admitido, se actualicen alguno de los siguientes supuestos:</w:t>
      </w:r>
    </w:p>
    <w:p w14:paraId="419FADED" w14:textId="77777777" w:rsidR="00223C13" w:rsidRPr="00FD4C0B" w:rsidRDefault="00223C13" w:rsidP="00FD4C0B">
      <w:pPr>
        <w:spacing w:line="360" w:lineRule="auto"/>
        <w:ind w:left="567" w:right="567"/>
        <w:jc w:val="both"/>
        <w:rPr>
          <w:rFonts w:ascii="Palatino Linotype" w:eastAsia="Calibri" w:hAnsi="Palatino Linotype" w:cs="Tahoma"/>
          <w:bCs/>
          <w:szCs w:val="22"/>
          <w:lang w:eastAsia="en-US"/>
        </w:rPr>
      </w:pPr>
    </w:p>
    <w:p w14:paraId="4929824A"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 El recurrente se desista expresamente del recurso;</w:t>
      </w:r>
    </w:p>
    <w:p w14:paraId="58781B23" w14:textId="77777777" w:rsidR="00FD4C0B" w:rsidRPr="00FD4C0B" w:rsidRDefault="00FD4C0B" w:rsidP="00FD4C0B">
      <w:pPr>
        <w:spacing w:line="360" w:lineRule="auto"/>
        <w:ind w:left="567" w:right="567"/>
        <w:jc w:val="both"/>
        <w:rPr>
          <w:rFonts w:ascii="Palatino Linotype" w:eastAsia="Calibri" w:hAnsi="Palatino Linotype" w:cs="Tahoma"/>
          <w:bCs/>
          <w:szCs w:val="22"/>
          <w:lang w:eastAsia="en-US"/>
        </w:rPr>
      </w:pPr>
      <w:r w:rsidRPr="00FD4C0B">
        <w:rPr>
          <w:rFonts w:ascii="Palatino Linotype" w:eastAsia="Calibri" w:hAnsi="Palatino Linotype" w:cs="Tahoma"/>
          <w:bCs/>
          <w:szCs w:val="22"/>
          <w:lang w:eastAsia="en-US"/>
        </w:rPr>
        <w:t>II. El recurrente fallezca o, tratándose de personas jurídicas colectivas, se disuelva;</w:t>
      </w:r>
    </w:p>
    <w:p w14:paraId="0DFF590A" w14:textId="12B5E7C8" w:rsidR="00FD4C0B" w:rsidRDefault="00FD4C0B" w:rsidP="00FD4C0B">
      <w:pPr>
        <w:spacing w:line="360" w:lineRule="auto"/>
        <w:ind w:left="567" w:right="567"/>
        <w:jc w:val="both"/>
        <w:rPr>
          <w:rFonts w:ascii="Palatino Linotype" w:eastAsia="Calibri" w:hAnsi="Palatino Linotype" w:cs="Tahoma"/>
          <w:b/>
          <w:bCs/>
          <w:szCs w:val="22"/>
          <w:lang w:eastAsia="en-US"/>
        </w:rPr>
      </w:pPr>
      <w:r w:rsidRPr="00FD4C0B">
        <w:rPr>
          <w:rFonts w:ascii="Palatino Linotype" w:eastAsia="Calibri" w:hAnsi="Palatino Linotype" w:cs="Tahoma"/>
          <w:b/>
          <w:bCs/>
          <w:szCs w:val="22"/>
          <w:lang w:eastAsia="en-US"/>
        </w:rPr>
        <w:t>III. El sujeto obligado responsable del acto lo modifique o revoque de tal manera que el recurso de revisión quede sin materia;</w:t>
      </w:r>
    </w:p>
    <w:p w14:paraId="38276099" w14:textId="1FF91443" w:rsidR="006D4D74" w:rsidRDefault="00FD4C0B" w:rsidP="002A7A2C">
      <w:pPr>
        <w:spacing w:line="360" w:lineRule="auto"/>
        <w:ind w:left="567" w:right="567"/>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w:t>
      </w:r>
    </w:p>
    <w:p w14:paraId="318B1154" w14:textId="77777777" w:rsidR="002A7A2C" w:rsidRPr="002A7A2C" w:rsidRDefault="002A7A2C" w:rsidP="002A7A2C">
      <w:pPr>
        <w:spacing w:line="360" w:lineRule="auto"/>
        <w:ind w:left="567" w:right="567"/>
        <w:jc w:val="both"/>
        <w:rPr>
          <w:rFonts w:ascii="Palatino Linotype" w:eastAsia="Calibri" w:hAnsi="Palatino Linotype" w:cs="Tahoma"/>
          <w:bCs/>
          <w:szCs w:val="22"/>
          <w:lang w:eastAsia="en-US"/>
        </w:rPr>
      </w:pPr>
    </w:p>
    <w:p w14:paraId="09EFA602" w14:textId="71683D0D" w:rsidR="00776E99" w:rsidRPr="00AF6580" w:rsidRDefault="0050016E" w:rsidP="007479DD">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sidR="00223C13">
        <w:rPr>
          <w:rFonts w:ascii="Palatino Linotype" w:hAnsi="Palatino Linotype" w:cs="Arial"/>
          <w:sz w:val="22"/>
          <w:szCs w:val="22"/>
        </w:rPr>
        <w:t>or lo que, con fundamento en los</w:t>
      </w:r>
      <w:r w:rsidR="00776E99" w:rsidRPr="00AF6580">
        <w:rPr>
          <w:rFonts w:ascii="Palatino Linotype" w:hAnsi="Palatino Linotype" w:cs="Arial"/>
          <w:sz w:val="22"/>
          <w:szCs w:val="22"/>
        </w:rPr>
        <w:t xml:space="preserve"> artículo</w:t>
      </w:r>
      <w:r w:rsidR="00223C13">
        <w:rPr>
          <w:rFonts w:ascii="Palatino Linotype" w:hAnsi="Palatino Linotype" w:cs="Arial"/>
          <w:sz w:val="22"/>
          <w:szCs w:val="22"/>
        </w:rPr>
        <w:t>s</w:t>
      </w:r>
      <w:r w:rsidR="00776E99" w:rsidRPr="00AF6580">
        <w:rPr>
          <w:rFonts w:ascii="Palatino Linotype" w:hAnsi="Palatino Linotype" w:cs="Arial"/>
          <w:sz w:val="22"/>
          <w:szCs w:val="22"/>
        </w:rPr>
        <w:t xml:space="preserve"> 186, fracción I </w:t>
      </w:r>
      <w:r w:rsidR="00223C13">
        <w:rPr>
          <w:rFonts w:ascii="Palatino Linotype" w:hAnsi="Palatino Linotype" w:cs="Arial"/>
          <w:sz w:val="22"/>
          <w:szCs w:val="22"/>
        </w:rPr>
        <w:t xml:space="preserve">y </w:t>
      </w:r>
      <w:r w:rsidR="00223C13" w:rsidRPr="00223C13">
        <w:rPr>
          <w:rFonts w:ascii="Palatino Linotype" w:hAnsi="Palatino Linotype" w:cs="Arial"/>
          <w:sz w:val="22"/>
          <w:szCs w:val="22"/>
        </w:rPr>
        <w:t>192 fracción III</w:t>
      </w:r>
      <w:r w:rsidR="00935607">
        <w:rPr>
          <w:rFonts w:ascii="Palatino Linotype" w:hAnsi="Palatino Linotype" w:cs="Arial"/>
          <w:sz w:val="22"/>
          <w:szCs w:val="22"/>
        </w:rPr>
        <w:t>,</w:t>
      </w:r>
      <w:r w:rsidR="00223C13" w:rsidRPr="00223C13">
        <w:rPr>
          <w:rFonts w:ascii="Palatino Linotype" w:hAnsi="Palatino Linotype" w:cs="Arial"/>
          <w:sz w:val="22"/>
          <w:szCs w:val="22"/>
        </w:rPr>
        <w:t xml:space="preserve"> </w:t>
      </w:r>
      <w:r w:rsidR="00776E99" w:rsidRPr="00AF6580">
        <w:rPr>
          <w:rFonts w:ascii="Palatino Linotype" w:hAnsi="Palatino Linotype" w:cs="Arial"/>
          <w:sz w:val="22"/>
          <w:szCs w:val="22"/>
        </w:rPr>
        <w:t xml:space="preserve">de la Ley de Transparencia y Acceso a la Información Pública del Estado de México y Municipios, </w:t>
      </w:r>
      <w:r w:rsidR="00935607">
        <w:rPr>
          <w:rFonts w:ascii="Palatino Linotype" w:hAnsi="Palatino Linotype" w:cs="Arial"/>
          <w:sz w:val="22"/>
          <w:szCs w:val="22"/>
        </w:rPr>
        <w:t>es procedente</w:t>
      </w:r>
      <w:r w:rsidR="00935607" w:rsidRPr="00AF6580">
        <w:rPr>
          <w:rFonts w:ascii="Palatino Linotype" w:hAnsi="Palatino Linotype" w:cs="Arial"/>
          <w:sz w:val="22"/>
          <w:szCs w:val="22"/>
        </w:rPr>
        <w:t xml:space="preserve"> </w:t>
      </w:r>
      <w:r w:rsidR="00776E99" w:rsidRPr="00AF6580">
        <w:rPr>
          <w:rFonts w:ascii="Palatino Linotype" w:hAnsi="Palatino Linotype" w:cs="Arial"/>
          <w:b/>
          <w:sz w:val="22"/>
          <w:szCs w:val="22"/>
        </w:rPr>
        <w:t>SOBRESEE</w:t>
      </w:r>
      <w:r w:rsidR="00935607">
        <w:rPr>
          <w:rFonts w:ascii="Palatino Linotype" w:hAnsi="Palatino Linotype" w:cs="Arial"/>
          <w:b/>
          <w:sz w:val="22"/>
          <w:szCs w:val="22"/>
        </w:rPr>
        <w:t>R</w:t>
      </w:r>
      <w:r w:rsidR="00054FDD">
        <w:rPr>
          <w:rFonts w:ascii="Palatino Linotype" w:hAnsi="Palatino Linotype" w:cs="Arial"/>
          <w:sz w:val="22"/>
          <w:szCs w:val="22"/>
        </w:rPr>
        <w:t xml:space="preserve"> el </w:t>
      </w:r>
      <w:r w:rsidR="00001067">
        <w:rPr>
          <w:rFonts w:ascii="Palatino Linotype" w:hAnsi="Palatino Linotype" w:cs="Arial"/>
          <w:sz w:val="22"/>
          <w:szCs w:val="22"/>
        </w:rPr>
        <w:t xml:space="preserve">Recurso </w:t>
      </w:r>
      <w:r w:rsidR="00054FDD">
        <w:rPr>
          <w:rFonts w:ascii="Palatino Linotype" w:hAnsi="Palatino Linotype" w:cs="Arial"/>
          <w:sz w:val="22"/>
          <w:szCs w:val="22"/>
        </w:rPr>
        <w:t xml:space="preserve">de </w:t>
      </w:r>
      <w:r w:rsidR="00001067">
        <w:rPr>
          <w:rFonts w:ascii="Palatino Linotype" w:hAnsi="Palatino Linotype" w:cs="Arial"/>
          <w:sz w:val="22"/>
          <w:szCs w:val="22"/>
        </w:rPr>
        <w:t xml:space="preserve">Revisión </w:t>
      </w:r>
      <w:r w:rsidR="00054FDD">
        <w:rPr>
          <w:rFonts w:ascii="Palatino Linotype" w:hAnsi="Palatino Linotype" w:cs="Arial"/>
          <w:sz w:val="22"/>
          <w:szCs w:val="22"/>
        </w:rPr>
        <w:t>04</w:t>
      </w:r>
      <w:r w:rsidR="001934DC">
        <w:rPr>
          <w:rFonts w:ascii="Palatino Linotype" w:hAnsi="Palatino Linotype" w:cs="Arial"/>
          <w:sz w:val="22"/>
          <w:szCs w:val="22"/>
        </w:rPr>
        <w:t>536</w:t>
      </w:r>
      <w:r w:rsidR="00776E99" w:rsidRPr="00AF6580">
        <w:rPr>
          <w:rFonts w:ascii="Palatino Linotype" w:hAnsi="Palatino Linotype" w:cs="Arial"/>
          <w:sz w:val="22"/>
          <w:szCs w:val="22"/>
        </w:rPr>
        <w:t>/INFOEM/IP/RR/2018, por que</w:t>
      </w:r>
      <w:r w:rsidR="00935607">
        <w:rPr>
          <w:rFonts w:ascii="Palatino Linotype" w:hAnsi="Palatino Linotype" w:cs="Arial"/>
          <w:sz w:val="22"/>
          <w:szCs w:val="22"/>
        </w:rPr>
        <w:t xml:space="preserve"> al haber modificado el acto el Sujeto Obligado, el </w:t>
      </w:r>
      <w:r w:rsidR="00001067">
        <w:rPr>
          <w:rFonts w:ascii="Palatino Linotype" w:hAnsi="Palatino Linotype" w:cs="Arial"/>
          <w:sz w:val="22"/>
          <w:szCs w:val="22"/>
        </w:rPr>
        <w:t xml:space="preserve">medio de impugnación </w:t>
      </w:r>
      <w:r w:rsidR="00935607">
        <w:rPr>
          <w:rFonts w:ascii="Palatino Linotype" w:hAnsi="Palatino Linotype" w:cs="Arial"/>
          <w:sz w:val="22"/>
          <w:szCs w:val="22"/>
        </w:rPr>
        <w:t xml:space="preserve">quedó </w:t>
      </w:r>
      <w:r w:rsidR="00776E99" w:rsidRPr="00AF6580">
        <w:rPr>
          <w:rFonts w:ascii="Palatino Linotype" w:hAnsi="Palatino Linotype" w:cs="Arial"/>
          <w:sz w:val="22"/>
          <w:szCs w:val="22"/>
        </w:rPr>
        <w:t xml:space="preserve">sin materia. </w:t>
      </w:r>
    </w:p>
    <w:p w14:paraId="46FB152E" w14:textId="77777777" w:rsidR="001934DC" w:rsidRDefault="001934DC" w:rsidP="007479DD">
      <w:pPr>
        <w:spacing w:line="360" w:lineRule="auto"/>
        <w:jc w:val="both"/>
        <w:rPr>
          <w:rFonts w:ascii="Palatino Linotype" w:hAnsi="Palatino Linotype" w:cs="Tahoma"/>
          <w:sz w:val="22"/>
          <w:szCs w:val="22"/>
          <w:lang w:val="es-MX"/>
        </w:rPr>
      </w:pPr>
    </w:p>
    <w:p w14:paraId="7644088C" w14:textId="77777777" w:rsidR="00776E99" w:rsidRPr="00AF6580" w:rsidRDefault="00776E99" w:rsidP="007479DD">
      <w:pPr>
        <w:spacing w:line="360" w:lineRule="auto"/>
        <w:jc w:val="both"/>
        <w:rPr>
          <w:rFonts w:ascii="Palatino Linotype" w:hAnsi="Palatino Linotype" w:cs="Tahoma"/>
          <w:sz w:val="22"/>
          <w:szCs w:val="22"/>
          <w:lang w:val="es-MX"/>
        </w:rPr>
      </w:pPr>
      <w:r w:rsidRPr="00AF6580">
        <w:rPr>
          <w:rFonts w:ascii="Palatino Linotype" w:hAnsi="Palatino Linotype" w:cs="Tahoma"/>
          <w:sz w:val="22"/>
          <w:szCs w:val="22"/>
          <w:lang w:val="es-MX"/>
        </w:rPr>
        <w:t xml:space="preserve">Por lo antes expuesto y fundado. </w:t>
      </w:r>
    </w:p>
    <w:p w14:paraId="17EC2DE1" w14:textId="77777777" w:rsidR="00D147D5" w:rsidRPr="00AF6580" w:rsidRDefault="00D147D5" w:rsidP="007479DD">
      <w:pPr>
        <w:spacing w:line="360" w:lineRule="auto"/>
        <w:jc w:val="center"/>
        <w:rPr>
          <w:rFonts w:ascii="Palatino Linotype" w:hAnsi="Palatino Linotype" w:cs="Tahoma"/>
          <w:b/>
          <w:bCs/>
          <w:sz w:val="22"/>
          <w:szCs w:val="22"/>
          <w:lang w:val="es-ES_tradnl"/>
        </w:rPr>
      </w:pPr>
    </w:p>
    <w:p w14:paraId="3459B449" w14:textId="394299A2" w:rsidR="003B3C9D" w:rsidRPr="00AF6580" w:rsidRDefault="00776E99" w:rsidP="007479DD">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SE RESUELVE</w:t>
      </w:r>
    </w:p>
    <w:p w14:paraId="4B0CB384" w14:textId="77777777" w:rsidR="00776E99" w:rsidRPr="00AF6580" w:rsidRDefault="00776E99" w:rsidP="007479DD">
      <w:pPr>
        <w:spacing w:line="360" w:lineRule="auto"/>
        <w:jc w:val="center"/>
        <w:rPr>
          <w:rFonts w:ascii="Palatino Linotype" w:hAnsi="Palatino Linotype" w:cs="Tahoma"/>
          <w:b/>
          <w:bCs/>
          <w:sz w:val="22"/>
          <w:szCs w:val="22"/>
          <w:lang w:val="es-ES_tradnl"/>
        </w:rPr>
      </w:pPr>
    </w:p>
    <w:p w14:paraId="58063C13" w14:textId="76730F2D" w:rsidR="00183E3F" w:rsidRPr="00443CAB" w:rsidRDefault="003B3C9D" w:rsidP="000567D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0567DD">
        <w:rPr>
          <w:rFonts w:ascii="Palatino Linotype" w:hAnsi="Palatino Linotype" w:cs="Arial"/>
          <w:sz w:val="22"/>
          <w:szCs w:val="22"/>
        </w:rPr>
        <w:t>R</w:t>
      </w:r>
      <w:r w:rsidRPr="00AF6580">
        <w:rPr>
          <w:rFonts w:ascii="Palatino Linotype" w:hAnsi="Palatino Linotype" w:cs="Arial"/>
          <w:sz w:val="22"/>
          <w:szCs w:val="22"/>
        </w:rPr>
        <w:t xml:space="preserve">ecurso de </w:t>
      </w:r>
      <w:r w:rsidR="000567DD">
        <w:rPr>
          <w:rFonts w:ascii="Palatino Linotype" w:hAnsi="Palatino Linotype" w:cs="Arial"/>
          <w:sz w:val="22"/>
          <w:szCs w:val="22"/>
        </w:rPr>
        <w:t>R</w:t>
      </w:r>
      <w:r w:rsidRPr="00AF6580">
        <w:rPr>
          <w:rFonts w:ascii="Palatino Linotype" w:hAnsi="Palatino Linotype" w:cs="Arial"/>
          <w:sz w:val="22"/>
          <w:szCs w:val="22"/>
        </w:rPr>
        <w:t xml:space="preserve">evisión </w:t>
      </w:r>
      <w:r w:rsidR="00054FDD">
        <w:rPr>
          <w:rFonts w:ascii="Palatino Linotype" w:hAnsi="Palatino Linotype" w:cs="Arial"/>
          <w:b/>
          <w:sz w:val="22"/>
          <w:szCs w:val="22"/>
        </w:rPr>
        <w:t>04</w:t>
      </w:r>
      <w:r w:rsidR="001934DC">
        <w:rPr>
          <w:rFonts w:ascii="Palatino Linotype" w:hAnsi="Palatino Linotype" w:cs="Arial"/>
          <w:b/>
          <w:sz w:val="22"/>
          <w:szCs w:val="22"/>
        </w:rPr>
        <w:t>536</w:t>
      </w:r>
      <w:r w:rsidR="00776E99" w:rsidRPr="000567DD">
        <w:rPr>
          <w:rFonts w:ascii="Palatino Linotype" w:hAnsi="Palatino Linotype" w:cs="Arial"/>
          <w:b/>
          <w:sz w:val="22"/>
          <w:szCs w:val="22"/>
        </w:rPr>
        <w:t>/INFOEM/IP/RR/2018</w:t>
      </w:r>
      <w:r w:rsidRPr="00AF6580">
        <w:rPr>
          <w:rFonts w:ascii="Palatino Linotype" w:hAnsi="Palatino Linotype" w:cs="Arial"/>
          <w:sz w:val="22"/>
          <w:szCs w:val="22"/>
        </w:rPr>
        <w:t>,</w:t>
      </w:r>
      <w:r w:rsidR="00183E3F">
        <w:rPr>
          <w:rFonts w:ascii="Palatino Linotype" w:hAnsi="Palatino Linotype" w:cs="Arial"/>
          <w:sz w:val="22"/>
          <w:szCs w:val="22"/>
        </w:rPr>
        <w:t xml:space="preserve"> </w:t>
      </w:r>
      <w:r w:rsidR="00183E3F" w:rsidRPr="00443CAB">
        <w:rPr>
          <w:rFonts w:ascii="Palatino Linotype" w:hAnsi="Palatino Linotype" w:cs="Arial"/>
          <w:b/>
          <w:sz w:val="22"/>
          <w:szCs w:val="22"/>
        </w:rPr>
        <w:t>porque al modificar la respuesta</w:t>
      </w:r>
      <w:r w:rsidR="00183E3F">
        <w:rPr>
          <w:rFonts w:ascii="Palatino Linotype" w:hAnsi="Palatino Linotype" w:cs="Arial"/>
          <w:sz w:val="22"/>
          <w:szCs w:val="22"/>
        </w:rPr>
        <w:t xml:space="preserve"> el Sujeto Obligado</w:t>
      </w:r>
      <w:r w:rsidR="00183E3F" w:rsidRPr="00443CAB">
        <w:rPr>
          <w:rFonts w:ascii="Palatino Linotype" w:hAnsi="Palatino Linotype" w:cs="Arial"/>
          <w:b/>
          <w:sz w:val="22"/>
          <w:szCs w:val="22"/>
        </w:rPr>
        <w:t xml:space="preserve">, </w:t>
      </w:r>
      <w:r w:rsidR="00183E3F" w:rsidRPr="00443CAB">
        <w:rPr>
          <w:rFonts w:ascii="Palatino Linotype" w:hAnsi="Palatino Linotype" w:cs="Arial"/>
          <w:sz w:val="22"/>
          <w:szCs w:val="22"/>
        </w:rPr>
        <w:t xml:space="preserve">el </w:t>
      </w:r>
      <w:r w:rsidR="00183E3F">
        <w:rPr>
          <w:rFonts w:ascii="Palatino Linotype" w:hAnsi="Palatino Linotype" w:cs="Arial"/>
          <w:sz w:val="22"/>
          <w:szCs w:val="22"/>
        </w:rPr>
        <w:t>R</w:t>
      </w:r>
      <w:r w:rsidR="00183E3F" w:rsidRPr="00443CAB">
        <w:rPr>
          <w:rFonts w:ascii="Palatino Linotype" w:hAnsi="Palatino Linotype" w:cs="Arial"/>
          <w:sz w:val="22"/>
          <w:szCs w:val="22"/>
        </w:rPr>
        <w:t xml:space="preserve">ecurso de </w:t>
      </w:r>
      <w:r w:rsidR="00C857D8">
        <w:rPr>
          <w:rFonts w:ascii="Palatino Linotype" w:hAnsi="Palatino Linotype" w:cs="Arial"/>
          <w:sz w:val="22"/>
          <w:szCs w:val="22"/>
        </w:rPr>
        <w:t>R</w:t>
      </w:r>
      <w:r w:rsidR="00C857D8" w:rsidRPr="00443CAB">
        <w:rPr>
          <w:rFonts w:ascii="Palatino Linotype" w:hAnsi="Palatino Linotype" w:cs="Arial"/>
          <w:sz w:val="22"/>
          <w:szCs w:val="22"/>
        </w:rPr>
        <w:t>evisión</w:t>
      </w:r>
      <w:r w:rsidR="00C857D8" w:rsidRPr="00443CAB">
        <w:rPr>
          <w:rFonts w:ascii="Palatino Linotype" w:hAnsi="Palatino Linotype" w:cs="Arial"/>
          <w:b/>
          <w:sz w:val="22"/>
          <w:szCs w:val="22"/>
        </w:rPr>
        <w:t xml:space="preserve"> </w:t>
      </w:r>
      <w:r w:rsidR="00183E3F" w:rsidRPr="00443CAB">
        <w:rPr>
          <w:rFonts w:ascii="Palatino Linotype" w:hAnsi="Palatino Linotype" w:cs="Arial"/>
          <w:b/>
          <w:sz w:val="22"/>
          <w:szCs w:val="22"/>
        </w:rPr>
        <w:t>quedó sin materia</w:t>
      </w:r>
      <w:r w:rsidR="00183E3F" w:rsidRPr="00443CAB">
        <w:rPr>
          <w:rFonts w:ascii="Palatino Linotype" w:hAnsi="Palatino Linotype" w:cs="Arial"/>
          <w:sz w:val="22"/>
          <w:szCs w:val="22"/>
        </w:rPr>
        <w:t>, en términos de</w:t>
      </w:r>
      <w:r w:rsidR="00183E3F">
        <w:rPr>
          <w:rFonts w:ascii="Palatino Linotype" w:hAnsi="Palatino Linotype" w:cs="Arial"/>
          <w:sz w:val="22"/>
          <w:szCs w:val="22"/>
        </w:rPr>
        <w:t>l</w:t>
      </w:r>
      <w:r w:rsidR="00183E3F" w:rsidRPr="00443CAB">
        <w:rPr>
          <w:rFonts w:ascii="Palatino Linotype" w:hAnsi="Palatino Linotype" w:cs="Arial"/>
          <w:sz w:val="22"/>
          <w:szCs w:val="22"/>
        </w:rPr>
        <w:t xml:space="preserve"> Considerando SEGUNDO de la presente </w:t>
      </w:r>
      <w:r w:rsidR="00183E3F">
        <w:rPr>
          <w:rFonts w:ascii="Palatino Linotype" w:hAnsi="Palatino Linotype" w:cs="Arial"/>
          <w:sz w:val="22"/>
          <w:szCs w:val="22"/>
        </w:rPr>
        <w:t>R</w:t>
      </w:r>
      <w:r w:rsidR="00183E3F" w:rsidRPr="00443CAB">
        <w:rPr>
          <w:rFonts w:ascii="Palatino Linotype" w:hAnsi="Palatino Linotype" w:cs="Arial"/>
          <w:sz w:val="22"/>
          <w:szCs w:val="22"/>
        </w:rPr>
        <w:t>esolución.</w:t>
      </w:r>
    </w:p>
    <w:p w14:paraId="4201BEEC" w14:textId="77777777" w:rsidR="00183E3F" w:rsidRPr="00AF6580" w:rsidRDefault="00183E3F" w:rsidP="000567DD">
      <w:pPr>
        <w:spacing w:line="360" w:lineRule="auto"/>
        <w:ind w:right="113"/>
        <w:jc w:val="both"/>
        <w:rPr>
          <w:rFonts w:ascii="Palatino Linotype" w:hAnsi="Palatino Linotype"/>
          <w:i/>
          <w:sz w:val="22"/>
          <w:szCs w:val="22"/>
          <w:lang w:val="es-ES_tradnl"/>
        </w:rPr>
      </w:pPr>
    </w:p>
    <w:p w14:paraId="4ACDF3D4" w14:textId="77777777" w:rsidR="00183E3F" w:rsidRPr="00443CAB" w:rsidRDefault="00183E3F" w:rsidP="000567D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5A0FE4F4" w14:textId="77777777" w:rsidR="00183E3F" w:rsidRPr="00443CAB" w:rsidRDefault="00183E3F" w:rsidP="00183E3F">
      <w:pPr>
        <w:spacing w:line="360" w:lineRule="auto"/>
        <w:ind w:right="333"/>
        <w:jc w:val="both"/>
        <w:rPr>
          <w:rFonts w:ascii="Palatino Linotype" w:hAnsi="Palatino Linotype" w:cs="Arial"/>
          <w:sz w:val="22"/>
          <w:szCs w:val="22"/>
        </w:rPr>
      </w:pPr>
    </w:p>
    <w:p w14:paraId="2ECF55C9" w14:textId="3EE3A679" w:rsidR="00183E3F" w:rsidRPr="00443CAB" w:rsidRDefault="00183E3F" w:rsidP="00183E3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Pr="00443CAB">
        <w:rPr>
          <w:rFonts w:ascii="Palatino Linotype" w:hAnsi="Palatino Linotype" w:cs="Arial"/>
          <w:b/>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A9B929" w14:textId="77777777" w:rsidR="00776E99" w:rsidRPr="00AF6580" w:rsidRDefault="00776E99" w:rsidP="007479DD">
      <w:pPr>
        <w:spacing w:line="360" w:lineRule="auto"/>
        <w:jc w:val="both"/>
        <w:rPr>
          <w:rFonts w:ascii="Palatino Linotype" w:hAnsi="Palatino Linotype" w:cs="Tahoma"/>
          <w:sz w:val="22"/>
          <w:szCs w:val="22"/>
          <w:lang w:val="es-MX"/>
        </w:rPr>
      </w:pPr>
    </w:p>
    <w:p w14:paraId="4042AA89" w14:textId="12DA3B47"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1934DC">
        <w:rPr>
          <w:rFonts w:ascii="Palatino Linotype" w:hAnsi="Palatino Linotype" w:cs="Arial"/>
          <w:sz w:val="22"/>
          <w:szCs w:val="22"/>
          <w:lang w:eastAsia="es-MX"/>
        </w:rPr>
        <w:t xml:space="preserve">SEXTA </w:t>
      </w:r>
      <w:r w:rsidRPr="006C1EB6">
        <w:rPr>
          <w:rFonts w:ascii="Palatino Linotype" w:hAnsi="Palatino Linotype" w:cs="Arial"/>
          <w:sz w:val="22"/>
          <w:szCs w:val="22"/>
          <w:lang w:eastAsia="es-MX"/>
        </w:rPr>
        <w:t xml:space="preserve">SESIÓN ORDINARIA, CELEBRADA EL </w:t>
      </w:r>
      <w:r w:rsidR="001934DC">
        <w:rPr>
          <w:rFonts w:ascii="Palatino Linotype" w:hAnsi="Palatino Linotype" w:cs="Arial"/>
          <w:sz w:val="22"/>
          <w:szCs w:val="22"/>
          <w:lang w:eastAsia="es-MX"/>
        </w:rPr>
        <w:t xml:space="preserve">TRECE </w:t>
      </w:r>
      <w:r w:rsidR="007479DD" w:rsidRPr="00693B2B">
        <w:rPr>
          <w:rFonts w:ascii="Palatino Linotype" w:hAnsi="Palatino Linotype" w:cs="Arial"/>
          <w:sz w:val="22"/>
          <w:szCs w:val="22"/>
          <w:lang w:eastAsia="es-MX"/>
        </w:rPr>
        <w:t xml:space="preserve">DE </w:t>
      </w:r>
      <w:r w:rsidR="001934DC">
        <w:rPr>
          <w:rFonts w:ascii="Palatino Linotype" w:hAnsi="Palatino Linotype" w:cs="Arial"/>
          <w:sz w:val="22"/>
          <w:szCs w:val="22"/>
          <w:lang w:eastAsia="es-MX"/>
        </w:rPr>
        <w:t>FEBRERO</w:t>
      </w:r>
      <w:r w:rsidR="007479DD" w:rsidRPr="00693B2B">
        <w:rPr>
          <w:rFonts w:ascii="Palatino Linotype" w:hAnsi="Palatino Linotype" w:cs="Arial"/>
          <w:sz w:val="22"/>
          <w:szCs w:val="22"/>
          <w:lang w:eastAsia="es-MX"/>
        </w:rPr>
        <w:t xml:space="preserve">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685C9B8A" w14:textId="77777777" w:rsidR="004022FB" w:rsidRPr="00AF6580" w:rsidRDefault="004022FB" w:rsidP="007479DD">
      <w:pPr>
        <w:spacing w:line="360" w:lineRule="auto"/>
        <w:ind w:right="-93"/>
        <w:jc w:val="both"/>
        <w:rPr>
          <w:rFonts w:ascii="Palatino Linotype" w:eastAsia="Calibri" w:hAnsi="Palatino Linotype" w:cs="Tahoma"/>
          <w:b/>
          <w:bCs/>
          <w:sz w:val="22"/>
          <w:szCs w:val="22"/>
          <w:lang w:eastAsia="en-US"/>
        </w:rPr>
      </w:pPr>
    </w:p>
    <w:p w14:paraId="2B626189" w14:textId="77777777" w:rsidR="008D71BC" w:rsidRDefault="008D71BC" w:rsidP="007479DD">
      <w:pPr>
        <w:spacing w:line="360" w:lineRule="auto"/>
        <w:jc w:val="both"/>
        <w:rPr>
          <w:rFonts w:ascii="Palatino Linotype" w:hAnsi="Palatino Linotype" w:cs="Tahoma"/>
          <w:sz w:val="22"/>
          <w:szCs w:val="22"/>
          <w:lang w:val="es-MX"/>
        </w:rPr>
      </w:pPr>
    </w:p>
    <w:p w14:paraId="743F14D8" w14:textId="77777777" w:rsidR="008D71BC" w:rsidRDefault="008D71BC" w:rsidP="007479DD">
      <w:pPr>
        <w:spacing w:line="360" w:lineRule="auto"/>
        <w:jc w:val="both"/>
        <w:rPr>
          <w:rFonts w:ascii="Palatino Linotype" w:hAnsi="Palatino Linotype" w:cs="Tahoma"/>
          <w:sz w:val="22"/>
          <w:szCs w:val="22"/>
          <w:lang w:val="es-MX"/>
        </w:rPr>
      </w:pPr>
    </w:p>
    <w:p w14:paraId="7F7FB7E9" w14:textId="24E8061C"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6CE0A89" w14:textId="788C8CDF" w:rsidR="00035017" w:rsidRPr="00AF6580" w:rsidRDefault="00035017" w:rsidP="007479DD">
      <w:pPr>
        <w:spacing w:line="360" w:lineRule="auto"/>
        <w:jc w:val="both"/>
        <w:rPr>
          <w:rFonts w:ascii="Palatino Linotype" w:hAnsi="Palatino Linotype" w:cs="Tahoma"/>
          <w:b/>
          <w:sz w:val="22"/>
          <w:szCs w:val="22"/>
          <w:lang w:val="es-MX"/>
        </w:rPr>
      </w:pPr>
    </w:p>
    <w:p w14:paraId="2733D970" w14:textId="241C7426" w:rsidR="00035017" w:rsidRDefault="00035017" w:rsidP="007479DD">
      <w:pPr>
        <w:spacing w:line="360" w:lineRule="auto"/>
        <w:jc w:val="both"/>
        <w:rPr>
          <w:rFonts w:ascii="Palatino Linotype" w:hAnsi="Palatino Linotype" w:cs="Tahoma"/>
          <w:b/>
          <w:sz w:val="22"/>
          <w:szCs w:val="22"/>
          <w:lang w:val="es-MX"/>
        </w:rPr>
      </w:pPr>
    </w:p>
    <w:p w14:paraId="72A0AAD8" w14:textId="77777777" w:rsidR="008D71BC" w:rsidRPr="00AF6580" w:rsidRDefault="008D71BC"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637A56CF" w14:textId="77777777" w:rsidR="00375460" w:rsidRPr="008D71BC" w:rsidRDefault="00375460" w:rsidP="008F70FD">
                            <w:pPr>
                              <w:spacing w:line="276" w:lineRule="auto"/>
                              <w:jc w:val="center"/>
                              <w:rPr>
                                <w:rFonts w:ascii="Palatino Linotype" w:eastAsia="Calibri" w:hAnsi="Palatino Linotype" w:cs="Tahoma"/>
                                <w:b/>
                                <w:sz w:val="22"/>
                                <w:szCs w:val="24"/>
                              </w:rPr>
                            </w:pPr>
                            <w:r w:rsidRPr="008D71BC">
                              <w:rPr>
                                <w:rFonts w:ascii="Palatino Linotype" w:eastAsia="Calibri" w:hAnsi="Palatino Linotype" w:cs="Tahoma"/>
                                <w:b/>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637A56CF" w14:textId="77777777" w:rsidR="00375460" w:rsidRPr="008D71BC" w:rsidRDefault="00375460" w:rsidP="008F70FD">
                      <w:pPr>
                        <w:spacing w:line="276" w:lineRule="auto"/>
                        <w:jc w:val="center"/>
                        <w:rPr>
                          <w:rFonts w:ascii="Palatino Linotype" w:eastAsia="Calibri" w:hAnsi="Palatino Linotype" w:cs="Tahoma"/>
                          <w:b/>
                          <w:sz w:val="22"/>
                          <w:szCs w:val="24"/>
                        </w:rPr>
                      </w:pPr>
                      <w:r w:rsidRPr="008D71BC">
                        <w:rPr>
                          <w:rFonts w:ascii="Palatino Linotype" w:eastAsia="Calibri" w:hAnsi="Palatino Linotype" w:cs="Tahoma"/>
                          <w:b/>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6BCD74F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CFF1775" w:rsidR="00035017" w:rsidRDefault="00035017" w:rsidP="007479DD">
      <w:pPr>
        <w:spacing w:line="360" w:lineRule="auto"/>
        <w:jc w:val="both"/>
        <w:rPr>
          <w:rFonts w:ascii="Palatino Linotype" w:hAnsi="Palatino Linotype" w:cs="Tahoma"/>
          <w:b/>
          <w:sz w:val="22"/>
          <w:szCs w:val="22"/>
          <w:lang w:val="es-MX"/>
        </w:rPr>
      </w:pPr>
    </w:p>
    <w:p w14:paraId="6133D4B8" w14:textId="77777777" w:rsidR="008D71BC" w:rsidRPr="00AF6580" w:rsidRDefault="008D71BC" w:rsidP="007479DD">
      <w:pPr>
        <w:spacing w:line="360" w:lineRule="auto"/>
        <w:jc w:val="both"/>
        <w:rPr>
          <w:rFonts w:ascii="Palatino Linotype" w:hAnsi="Palatino Linotype" w:cs="Tahoma"/>
          <w:b/>
          <w:sz w:val="22"/>
          <w:szCs w:val="22"/>
          <w:lang w:val="es-MX"/>
        </w:rPr>
      </w:pPr>
    </w:p>
    <w:p w14:paraId="7F289C92" w14:textId="77777777" w:rsidR="00035017" w:rsidRPr="00AF6580" w:rsidRDefault="00035017" w:rsidP="007479DD">
      <w:pPr>
        <w:spacing w:line="360" w:lineRule="auto"/>
        <w:jc w:val="both"/>
        <w:rPr>
          <w:rFonts w:ascii="Palatino Linotype" w:hAnsi="Palatino Linotype" w:cs="Tahoma"/>
          <w:b/>
          <w:sz w:val="22"/>
          <w:szCs w:val="22"/>
          <w:lang w:val="es-MX"/>
        </w:rPr>
      </w:pPr>
    </w:p>
    <w:p w14:paraId="36CC0440" w14:textId="586DCEE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10DFCF02" w14:textId="77777777" w:rsidR="00035017" w:rsidRDefault="00035017" w:rsidP="007479DD">
      <w:pPr>
        <w:spacing w:line="360" w:lineRule="auto"/>
        <w:jc w:val="both"/>
        <w:rPr>
          <w:rFonts w:ascii="Palatino Linotype" w:hAnsi="Palatino Linotype" w:cs="Tahoma"/>
          <w:sz w:val="22"/>
          <w:szCs w:val="22"/>
          <w:lang w:val="es-MX"/>
        </w:rPr>
      </w:pPr>
    </w:p>
    <w:p w14:paraId="5B541446" w14:textId="7F70A803" w:rsidR="00035017" w:rsidRPr="00AF6580" w:rsidRDefault="008C67EF"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04B71042">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D8326"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8D71BC" w:rsidRDefault="00375460" w:rsidP="00035017">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v:textbox>
                <w10:wrap anchorx="page"/>
              </v:shape>
            </w:pict>
          </mc:Fallback>
        </mc:AlternateContent>
      </w: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41840213" w14:textId="00506E2B" w:rsidR="008C67EF" w:rsidRDefault="008C67EF" w:rsidP="007479DD">
      <w:pPr>
        <w:spacing w:line="360" w:lineRule="auto"/>
        <w:jc w:val="both"/>
        <w:rPr>
          <w:rFonts w:ascii="Palatino Linotype" w:hAnsi="Palatino Linotype" w:cs="Tahoma"/>
          <w:sz w:val="22"/>
          <w:szCs w:val="22"/>
          <w:lang w:val="es-MX"/>
        </w:rPr>
      </w:pPr>
    </w:p>
    <w:p w14:paraId="5A548BE0" w14:textId="653F0E4B" w:rsidR="001934DC" w:rsidRPr="00AF6580" w:rsidRDefault="001934DC" w:rsidP="007479DD">
      <w:pPr>
        <w:spacing w:line="360" w:lineRule="auto"/>
        <w:jc w:val="both"/>
        <w:rPr>
          <w:rFonts w:ascii="Palatino Linotype" w:hAnsi="Palatino Linotype" w:cs="Tahoma"/>
          <w:sz w:val="22"/>
          <w:szCs w:val="22"/>
          <w:lang w:val="es-MX"/>
        </w:rPr>
      </w:pPr>
    </w:p>
    <w:p w14:paraId="1060F2B4" w14:textId="1CD8D07F"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1934DC">
        <w:rPr>
          <w:rFonts w:ascii="Palatino Linotype" w:eastAsia="Calibri" w:hAnsi="Palatino Linotype" w:cs="Arial"/>
          <w:sz w:val="22"/>
          <w:szCs w:val="22"/>
          <w:lang w:eastAsia="en-US"/>
        </w:rPr>
        <w:t xml:space="preserve">trece </w:t>
      </w:r>
      <w:r w:rsidRPr="00AF6580">
        <w:rPr>
          <w:rFonts w:ascii="Palatino Linotype" w:eastAsia="Calibri" w:hAnsi="Palatino Linotype" w:cs="Arial"/>
          <w:sz w:val="22"/>
          <w:szCs w:val="22"/>
          <w:lang w:eastAsia="en-US"/>
        </w:rPr>
        <w:t xml:space="preserve">de </w:t>
      </w:r>
      <w:r w:rsidR="001934DC">
        <w:rPr>
          <w:rFonts w:ascii="Palatino Linotype" w:eastAsia="Calibri" w:hAnsi="Palatino Linotype" w:cs="Arial"/>
          <w:sz w:val="22"/>
          <w:szCs w:val="22"/>
          <w:lang w:eastAsia="en-US"/>
        </w:rPr>
        <w:t xml:space="preserve">febrero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054FDD" w:rsidRPr="008D71BC">
        <w:rPr>
          <w:rFonts w:ascii="Palatino Linotype" w:eastAsia="Calibri" w:hAnsi="Palatino Linotype" w:cs="Arial"/>
          <w:b/>
          <w:bCs/>
          <w:sz w:val="22"/>
          <w:szCs w:val="22"/>
          <w:lang w:eastAsia="en-US"/>
        </w:rPr>
        <w:t>04</w:t>
      </w:r>
      <w:r w:rsidR="001934DC" w:rsidRPr="008D71BC">
        <w:rPr>
          <w:rFonts w:ascii="Palatino Linotype" w:eastAsia="Calibri" w:hAnsi="Palatino Linotype" w:cs="Arial"/>
          <w:b/>
          <w:bCs/>
          <w:sz w:val="22"/>
          <w:szCs w:val="22"/>
          <w:lang w:eastAsia="en-US"/>
        </w:rPr>
        <w:t>536</w:t>
      </w:r>
      <w:r w:rsidRPr="008D71BC">
        <w:rPr>
          <w:rFonts w:ascii="Palatino Linotype" w:eastAsia="Calibri" w:hAnsi="Palatino Linotype" w:cs="Arial"/>
          <w:b/>
          <w:bCs/>
          <w:sz w:val="22"/>
          <w:szCs w:val="22"/>
          <w:lang w:eastAsia="en-US"/>
        </w:rPr>
        <w:t>/INFOEM/IP/RR/2018</w:t>
      </w:r>
      <w:r w:rsidRPr="00AF6580">
        <w:rPr>
          <w:rFonts w:ascii="Palatino Linotype" w:eastAsia="Calibri" w:hAnsi="Palatino Linotype" w:cs="Arial"/>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9B99E" w14:textId="77777777" w:rsidR="00D8494C" w:rsidRDefault="00D8494C" w:rsidP="00B31222">
      <w:r>
        <w:separator/>
      </w:r>
    </w:p>
  </w:endnote>
  <w:endnote w:type="continuationSeparator" w:id="0">
    <w:p w14:paraId="2DC48446" w14:textId="77777777" w:rsidR="00D8494C" w:rsidRDefault="00D8494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223C13" w:rsidRDefault="00223C13">
            <w:pPr>
              <w:pStyle w:val="Piedepgina"/>
              <w:jc w:val="right"/>
            </w:pPr>
          </w:p>
          <w:p w14:paraId="6C065F6E" w14:textId="77777777" w:rsidR="00223C13" w:rsidRDefault="00223C13">
            <w:pPr>
              <w:pStyle w:val="Piedepgina"/>
              <w:jc w:val="right"/>
            </w:pPr>
          </w:p>
          <w:p w14:paraId="64B31E80" w14:textId="6EE1DFD4"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8C18EA">
              <w:rPr>
                <w:b/>
                <w:bCs/>
                <w:noProof/>
              </w:rPr>
              <w:t>19</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8C18EA">
              <w:rPr>
                <w:b/>
                <w:bCs/>
                <w:noProof/>
              </w:rPr>
              <w:t>20</w:t>
            </w:r>
            <w:r w:rsidRPr="00035017">
              <w:rPr>
                <w:b/>
                <w:bCs/>
              </w:rPr>
              <w:fldChar w:fldCharType="end"/>
            </w:r>
          </w:p>
        </w:sdtContent>
      </w:sdt>
    </w:sdtContent>
  </w:sdt>
  <w:p w14:paraId="6584B59F" w14:textId="77777777"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3FE18982"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C18E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C18EA">
              <w:rPr>
                <w:b/>
                <w:bCs/>
                <w:noProof/>
              </w:rPr>
              <w:t>20</w:t>
            </w:r>
            <w:r>
              <w:rPr>
                <w:b/>
                <w:bCs/>
                <w:sz w:val="24"/>
                <w:szCs w:val="24"/>
              </w:rPr>
              <w:fldChar w:fldCharType="end"/>
            </w:r>
          </w:p>
        </w:sdtContent>
      </w:sdt>
    </w:sdtContent>
  </w:sdt>
  <w:p w14:paraId="388A9A1D" w14:textId="77777777"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9A4D" w14:textId="77777777" w:rsidR="00D8494C" w:rsidRDefault="00D8494C" w:rsidP="00B31222">
      <w:r>
        <w:separator/>
      </w:r>
    </w:p>
  </w:footnote>
  <w:footnote w:type="continuationSeparator" w:id="0">
    <w:p w14:paraId="52DEFC3D" w14:textId="77777777" w:rsidR="00D8494C" w:rsidRDefault="00D8494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7BF72E0D" w14:textId="77777777" w:rsidTr="00202DB8">
      <w:trPr>
        <w:trHeight w:val="1435"/>
      </w:trPr>
      <w:tc>
        <w:tcPr>
          <w:tcW w:w="2835" w:type="dxa"/>
          <w:shd w:val="clear" w:color="auto" w:fill="auto"/>
        </w:tcPr>
        <w:p w14:paraId="0CCA997D" w14:textId="34B91F3D"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6A8514DF" w14:textId="77777777" w:rsidTr="00812BB6">
            <w:trPr>
              <w:trHeight w:val="144"/>
            </w:trPr>
            <w:tc>
              <w:tcPr>
                <w:tcW w:w="2698" w:type="dxa"/>
              </w:tcPr>
              <w:p w14:paraId="09FB94A0"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05558F34" w:rsidR="00375460" w:rsidRPr="00E152D8" w:rsidRDefault="00C77CBF" w:rsidP="00854523">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w:t>
                </w:r>
                <w:r w:rsidR="00854523">
                  <w:rPr>
                    <w:rFonts w:ascii="Palatino Linotype" w:eastAsia="Calibri" w:hAnsi="Palatino Linotype" w:cs="Tahoma"/>
                    <w:bCs/>
                    <w:sz w:val="22"/>
                    <w:szCs w:val="22"/>
                    <w:lang w:eastAsia="en-US"/>
                  </w:rPr>
                  <w:t>53</w:t>
                </w:r>
                <w:r>
                  <w:rPr>
                    <w:rFonts w:ascii="Palatino Linotype" w:eastAsia="Calibri" w:hAnsi="Palatino Linotype" w:cs="Tahoma"/>
                    <w:bCs/>
                    <w:sz w:val="22"/>
                    <w:szCs w:val="22"/>
                    <w:lang w:eastAsia="en-US"/>
                  </w:rPr>
                  <w:t>6</w:t>
                </w:r>
                <w:r w:rsidR="00375460" w:rsidRPr="00E152D8">
                  <w:rPr>
                    <w:rFonts w:ascii="Palatino Linotype" w:eastAsia="Calibri" w:hAnsi="Palatino Linotype" w:cs="Tahoma"/>
                    <w:bCs/>
                    <w:sz w:val="22"/>
                    <w:szCs w:val="22"/>
                    <w:lang w:eastAsia="en-US"/>
                  </w:rPr>
                  <w:t>/INFOEM/IP/RR/2018</w:t>
                </w:r>
              </w:p>
            </w:tc>
          </w:tr>
          <w:tr w:rsidR="00375460" w:rsidRPr="00E152D8" w14:paraId="4CB2615A" w14:textId="77777777" w:rsidTr="00812BB6">
            <w:trPr>
              <w:trHeight w:val="283"/>
            </w:trPr>
            <w:tc>
              <w:tcPr>
                <w:tcW w:w="2698" w:type="dxa"/>
              </w:tcPr>
              <w:p w14:paraId="582B550E" w14:textId="18E7BB9D"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4D213488" w:rsidR="00375460" w:rsidRPr="00E152D8" w:rsidRDefault="00854523" w:rsidP="00C77CBF">
                <w:pPr>
                  <w:tabs>
                    <w:tab w:val="right" w:pos="8838"/>
                  </w:tabs>
                  <w:ind w:right="-32"/>
                  <w:jc w:val="both"/>
                  <w:rPr>
                    <w:rFonts w:ascii="Palatino Linotype" w:eastAsia="Calibri" w:hAnsi="Palatino Linotype" w:cs="Tahoma"/>
                    <w:b/>
                    <w:sz w:val="22"/>
                    <w:szCs w:val="22"/>
                    <w:lang w:val="es-MX" w:eastAsia="en-US"/>
                  </w:rPr>
                </w:pPr>
                <w:r w:rsidRPr="00854523">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375460" w:rsidRPr="00E152D8" w14:paraId="539AA649" w14:textId="77777777" w:rsidTr="00812BB6">
            <w:trPr>
              <w:trHeight w:val="283"/>
            </w:trPr>
            <w:tc>
              <w:tcPr>
                <w:tcW w:w="2698" w:type="dxa"/>
              </w:tcPr>
              <w:p w14:paraId="1DA99B95"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14:paraId="54AE9B70" w14:textId="77777777" w:rsidR="00375460" w:rsidRPr="00443C6B" w:rsidRDefault="0037546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41455844" w14:textId="77777777" w:rsidTr="005762DA">
      <w:trPr>
        <w:trHeight w:val="1435"/>
      </w:trPr>
      <w:tc>
        <w:tcPr>
          <w:tcW w:w="2835" w:type="dxa"/>
          <w:shd w:val="clear" w:color="auto" w:fill="auto"/>
        </w:tcPr>
        <w:p w14:paraId="23EC30A0" w14:textId="5BD321D9"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258E12CA" w14:textId="77777777" w:rsidTr="005762DA">
            <w:trPr>
              <w:trHeight w:val="144"/>
            </w:trPr>
            <w:tc>
              <w:tcPr>
                <w:tcW w:w="2698" w:type="dxa"/>
              </w:tcPr>
              <w:p w14:paraId="37123E7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017E0E8F" w:rsidR="00375460" w:rsidRPr="00E152D8" w:rsidRDefault="007B0FDC" w:rsidP="0055108C">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04</w:t>
                </w:r>
                <w:r w:rsidR="0055108C">
                  <w:rPr>
                    <w:rFonts w:ascii="Palatino Linotype" w:eastAsia="Calibri" w:hAnsi="Palatino Linotype" w:cs="Tahoma"/>
                    <w:bCs/>
                    <w:sz w:val="22"/>
                    <w:szCs w:val="22"/>
                    <w:lang w:eastAsia="en-US"/>
                  </w:rPr>
                  <w:t>536</w:t>
                </w:r>
                <w:r w:rsidR="00375460" w:rsidRPr="00E152D8">
                  <w:rPr>
                    <w:rFonts w:ascii="Palatino Linotype" w:eastAsia="Calibri" w:hAnsi="Palatino Linotype" w:cs="Tahoma"/>
                    <w:bCs/>
                    <w:sz w:val="22"/>
                    <w:szCs w:val="22"/>
                    <w:lang w:eastAsia="en-US"/>
                  </w:rPr>
                  <w:t>/INFOEM/IP/RR/2018</w:t>
                </w:r>
              </w:p>
            </w:tc>
          </w:tr>
          <w:tr w:rsidR="00375460" w:rsidRPr="00E152D8" w14:paraId="06E73082" w14:textId="77777777" w:rsidTr="005762DA">
            <w:trPr>
              <w:trHeight w:val="144"/>
            </w:trPr>
            <w:tc>
              <w:tcPr>
                <w:tcW w:w="2698" w:type="dxa"/>
              </w:tcPr>
              <w:p w14:paraId="5673A89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57D9DED2" w:rsidR="00375460" w:rsidRPr="00E152D8" w:rsidRDefault="00AA73E1" w:rsidP="007B0FDC">
                <w:pPr>
                  <w:tabs>
                    <w:tab w:val="right" w:pos="8838"/>
                  </w:tabs>
                  <w:ind w:right="-32"/>
                  <w:jc w:val="both"/>
                  <w:rPr>
                    <w:rFonts w:ascii="Palatino Linotype" w:eastAsia="Calibri" w:hAnsi="Palatino Linotype" w:cs="Tahoma"/>
                    <w:sz w:val="22"/>
                    <w:szCs w:val="22"/>
                    <w:lang w:val="es-MX" w:eastAsia="en-US"/>
                  </w:rPr>
                </w:pPr>
                <w:r w:rsidRPr="008C18EA">
                  <w:rPr>
                    <w:rFonts w:ascii="Palatino Linotype" w:eastAsia="Calibri" w:hAnsi="Palatino Linotype" w:cs="Tahoma"/>
                    <w:sz w:val="22"/>
                    <w:szCs w:val="22"/>
                    <w:highlight w:val="black"/>
                    <w:lang w:val="es-MX" w:eastAsia="en-US"/>
                  </w:rPr>
                  <w:t>XXXXXXXXXXXXXXXXXXXXXX</w:t>
                </w:r>
              </w:p>
            </w:tc>
          </w:tr>
          <w:tr w:rsidR="00375460" w:rsidRPr="00E152D8" w14:paraId="1141639A" w14:textId="77777777" w:rsidTr="005762DA">
            <w:trPr>
              <w:trHeight w:val="283"/>
            </w:trPr>
            <w:tc>
              <w:tcPr>
                <w:tcW w:w="2698" w:type="dxa"/>
              </w:tcPr>
              <w:p w14:paraId="6E3C9017" w14:textId="0D153D4C"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55EA666A" w:rsidR="00375460" w:rsidRPr="00E152D8" w:rsidRDefault="0055108C" w:rsidP="007B0FDC">
                <w:pPr>
                  <w:tabs>
                    <w:tab w:val="right" w:pos="8838"/>
                  </w:tabs>
                  <w:ind w:right="-32"/>
                  <w:jc w:val="both"/>
                  <w:rPr>
                    <w:rFonts w:ascii="Palatino Linotype" w:eastAsia="Calibri" w:hAnsi="Palatino Linotype" w:cs="Tahoma"/>
                    <w:b/>
                    <w:sz w:val="22"/>
                    <w:szCs w:val="22"/>
                    <w:lang w:val="es-MX" w:eastAsia="en-US"/>
                  </w:rPr>
                </w:pPr>
                <w:r w:rsidRPr="0055108C">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375460" w:rsidRPr="00E152D8" w14:paraId="4CF82934" w14:textId="77777777" w:rsidTr="005762DA">
            <w:trPr>
              <w:trHeight w:val="283"/>
            </w:trPr>
            <w:tc>
              <w:tcPr>
                <w:tcW w:w="2698" w:type="dxa"/>
              </w:tcPr>
              <w:p w14:paraId="5A074113"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14:paraId="1C57FAFA" w14:textId="77777777" w:rsidR="00375460" w:rsidRPr="007516C8" w:rsidRDefault="003754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6"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34"/>
  </w:num>
  <w:num w:numId="5">
    <w:abstractNumId w:val="12"/>
  </w:num>
  <w:num w:numId="6">
    <w:abstractNumId w:val="17"/>
  </w:num>
  <w:num w:numId="7">
    <w:abstractNumId w:val="13"/>
  </w:num>
  <w:num w:numId="8">
    <w:abstractNumId w:val="11"/>
  </w:num>
  <w:num w:numId="9">
    <w:abstractNumId w:val="26"/>
  </w:num>
  <w:num w:numId="10">
    <w:abstractNumId w:val="7"/>
  </w:num>
  <w:num w:numId="11">
    <w:abstractNumId w:val="9"/>
  </w:num>
  <w:num w:numId="12">
    <w:abstractNumId w:val="33"/>
  </w:num>
  <w:num w:numId="13">
    <w:abstractNumId w:val="21"/>
  </w:num>
  <w:num w:numId="14">
    <w:abstractNumId w:val="22"/>
  </w:num>
  <w:num w:numId="15">
    <w:abstractNumId w:val="10"/>
  </w:num>
  <w:num w:numId="16">
    <w:abstractNumId w:val="18"/>
  </w:num>
  <w:num w:numId="17">
    <w:abstractNumId w:val="29"/>
  </w:num>
  <w:num w:numId="18">
    <w:abstractNumId w:val="23"/>
  </w:num>
  <w:num w:numId="19">
    <w:abstractNumId w:val="32"/>
  </w:num>
  <w:num w:numId="20">
    <w:abstractNumId w:val="16"/>
  </w:num>
  <w:num w:numId="21">
    <w:abstractNumId w:val="5"/>
  </w:num>
  <w:num w:numId="22">
    <w:abstractNumId w:val="28"/>
  </w:num>
  <w:num w:numId="23">
    <w:abstractNumId w:val="14"/>
  </w:num>
  <w:num w:numId="24">
    <w:abstractNumId w:val="24"/>
  </w:num>
  <w:num w:numId="25">
    <w:abstractNumId w:val="4"/>
  </w:num>
  <w:num w:numId="26">
    <w:abstractNumId w:val="3"/>
  </w:num>
  <w:num w:numId="27">
    <w:abstractNumId w:val="15"/>
  </w:num>
  <w:num w:numId="28">
    <w:abstractNumId w:val="37"/>
  </w:num>
  <w:num w:numId="29">
    <w:abstractNumId w:val="30"/>
  </w:num>
  <w:num w:numId="30">
    <w:abstractNumId w:val="25"/>
  </w:num>
  <w:num w:numId="31">
    <w:abstractNumId w:val="19"/>
  </w:num>
  <w:num w:numId="32">
    <w:abstractNumId w:val="6"/>
  </w:num>
  <w:num w:numId="33">
    <w:abstractNumId w:val="20"/>
  </w:num>
  <w:num w:numId="34">
    <w:abstractNumId w:val="31"/>
  </w:num>
  <w:num w:numId="35">
    <w:abstractNumId w:val="35"/>
  </w:num>
  <w:num w:numId="36">
    <w:abstractNumId w:val="8"/>
  </w:num>
  <w:num w:numId="37">
    <w:abstractNumId w:val="27"/>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5CF1"/>
    <w:rsid w:val="00086262"/>
    <w:rsid w:val="000939DD"/>
    <w:rsid w:val="00097211"/>
    <w:rsid w:val="000A0466"/>
    <w:rsid w:val="000A47A6"/>
    <w:rsid w:val="000B0FAA"/>
    <w:rsid w:val="000B2C93"/>
    <w:rsid w:val="000B36DD"/>
    <w:rsid w:val="000B3FBF"/>
    <w:rsid w:val="000C27CA"/>
    <w:rsid w:val="000D453A"/>
    <w:rsid w:val="000E2948"/>
    <w:rsid w:val="000E6EB0"/>
    <w:rsid w:val="000F24C8"/>
    <w:rsid w:val="000F33A7"/>
    <w:rsid w:val="000F3DA0"/>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EDA"/>
    <w:rsid w:val="0016796B"/>
    <w:rsid w:val="00170545"/>
    <w:rsid w:val="0017067D"/>
    <w:rsid w:val="001715F4"/>
    <w:rsid w:val="001723FF"/>
    <w:rsid w:val="0017459B"/>
    <w:rsid w:val="00183D24"/>
    <w:rsid w:val="00183E3F"/>
    <w:rsid w:val="001847FF"/>
    <w:rsid w:val="001851A6"/>
    <w:rsid w:val="00191DF6"/>
    <w:rsid w:val="00191E78"/>
    <w:rsid w:val="001934DC"/>
    <w:rsid w:val="0019389B"/>
    <w:rsid w:val="001A0A9D"/>
    <w:rsid w:val="001A1B94"/>
    <w:rsid w:val="001A6B36"/>
    <w:rsid w:val="001A7FD2"/>
    <w:rsid w:val="001B107D"/>
    <w:rsid w:val="001B43B8"/>
    <w:rsid w:val="001B5B40"/>
    <w:rsid w:val="001B79D2"/>
    <w:rsid w:val="001D5EE6"/>
    <w:rsid w:val="001D7BD2"/>
    <w:rsid w:val="001E2A4D"/>
    <w:rsid w:val="001E49D7"/>
    <w:rsid w:val="001E53C2"/>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2673"/>
    <w:rsid w:val="0023686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C6B"/>
    <w:rsid w:val="00291955"/>
    <w:rsid w:val="00291ACA"/>
    <w:rsid w:val="00293491"/>
    <w:rsid w:val="002A0D89"/>
    <w:rsid w:val="002A1142"/>
    <w:rsid w:val="002A1F13"/>
    <w:rsid w:val="002A3D21"/>
    <w:rsid w:val="002A5257"/>
    <w:rsid w:val="002A5AD6"/>
    <w:rsid w:val="002A6193"/>
    <w:rsid w:val="002A7A2C"/>
    <w:rsid w:val="002B20A1"/>
    <w:rsid w:val="002B46D4"/>
    <w:rsid w:val="002B49F6"/>
    <w:rsid w:val="002B54CF"/>
    <w:rsid w:val="002C1077"/>
    <w:rsid w:val="002C65C0"/>
    <w:rsid w:val="002D788C"/>
    <w:rsid w:val="002E0369"/>
    <w:rsid w:val="002E378C"/>
    <w:rsid w:val="002E728F"/>
    <w:rsid w:val="002F0CE9"/>
    <w:rsid w:val="002F1957"/>
    <w:rsid w:val="002F2D2D"/>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25AC"/>
    <w:rsid w:val="004052C5"/>
    <w:rsid w:val="0040764D"/>
    <w:rsid w:val="004100AA"/>
    <w:rsid w:val="00412203"/>
    <w:rsid w:val="00412DC4"/>
    <w:rsid w:val="00417DE3"/>
    <w:rsid w:val="00420CD8"/>
    <w:rsid w:val="00422869"/>
    <w:rsid w:val="004230EF"/>
    <w:rsid w:val="00424608"/>
    <w:rsid w:val="00432121"/>
    <w:rsid w:val="0043257A"/>
    <w:rsid w:val="00440556"/>
    <w:rsid w:val="004406CF"/>
    <w:rsid w:val="00442B41"/>
    <w:rsid w:val="004435B4"/>
    <w:rsid w:val="00447C48"/>
    <w:rsid w:val="0046048A"/>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576"/>
    <w:rsid w:val="004A7990"/>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B0D7C"/>
    <w:rsid w:val="005B1986"/>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7795"/>
    <w:rsid w:val="006D7ACB"/>
    <w:rsid w:val="006D7C70"/>
    <w:rsid w:val="006E241A"/>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1F8"/>
    <w:rsid w:val="00754412"/>
    <w:rsid w:val="007574BB"/>
    <w:rsid w:val="0075764C"/>
    <w:rsid w:val="007606EE"/>
    <w:rsid w:val="00760F24"/>
    <w:rsid w:val="00762198"/>
    <w:rsid w:val="00770792"/>
    <w:rsid w:val="00774FFE"/>
    <w:rsid w:val="00775638"/>
    <w:rsid w:val="0077599A"/>
    <w:rsid w:val="00776E99"/>
    <w:rsid w:val="00777353"/>
    <w:rsid w:val="00777602"/>
    <w:rsid w:val="007835C9"/>
    <w:rsid w:val="00785461"/>
    <w:rsid w:val="00786FF3"/>
    <w:rsid w:val="00793090"/>
    <w:rsid w:val="00797B53"/>
    <w:rsid w:val="00797E3A"/>
    <w:rsid w:val="007A2F42"/>
    <w:rsid w:val="007A2F67"/>
    <w:rsid w:val="007A3918"/>
    <w:rsid w:val="007A4A05"/>
    <w:rsid w:val="007B0E89"/>
    <w:rsid w:val="007B0FDC"/>
    <w:rsid w:val="007B2C38"/>
    <w:rsid w:val="007B2E54"/>
    <w:rsid w:val="007B2E61"/>
    <w:rsid w:val="007B60EF"/>
    <w:rsid w:val="007B6E92"/>
    <w:rsid w:val="007B7498"/>
    <w:rsid w:val="007B77E9"/>
    <w:rsid w:val="007B7AEE"/>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8EA"/>
    <w:rsid w:val="008C1A04"/>
    <w:rsid w:val="008C2FA1"/>
    <w:rsid w:val="008C3CF9"/>
    <w:rsid w:val="008C5C93"/>
    <w:rsid w:val="008C67EF"/>
    <w:rsid w:val="008D71BC"/>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782C"/>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88"/>
    <w:rsid w:val="00A5420A"/>
    <w:rsid w:val="00A57C3D"/>
    <w:rsid w:val="00A621CF"/>
    <w:rsid w:val="00A622B0"/>
    <w:rsid w:val="00A631FA"/>
    <w:rsid w:val="00A6697B"/>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A73E1"/>
    <w:rsid w:val="00AB010D"/>
    <w:rsid w:val="00AB2A36"/>
    <w:rsid w:val="00AB5D9D"/>
    <w:rsid w:val="00AC0EB7"/>
    <w:rsid w:val="00AC1B61"/>
    <w:rsid w:val="00AC5EE6"/>
    <w:rsid w:val="00AD1740"/>
    <w:rsid w:val="00AD1923"/>
    <w:rsid w:val="00AD2611"/>
    <w:rsid w:val="00AD3D57"/>
    <w:rsid w:val="00AD5855"/>
    <w:rsid w:val="00AD728F"/>
    <w:rsid w:val="00AE273C"/>
    <w:rsid w:val="00AE6153"/>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57FCF"/>
    <w:rsid w:val="00B60AB8"/>
    <w:rsid w:val="00B64B52"/>
    <w:rsid w:val="00B657BE"/>
    <w:rsid w:val="00B67D46"/>
    <w:rsid w:val="00B7262F"/>
    <w:rsid w:val="00B73FD4"/>
    <w:rsid w:val="00B74FC5"/>
    <w:rsid w:val="00B75A6C"/>
    <w:rsid w:val="00B76D35"/>
    <w:rsid w:val="00B83E2A"/>
    <w:rsid w:val="00B83E38"/>
    <w:rsid w:val="00B86C19"/>
    <w:rsid w:val="00B908CF"/>
    <w:rsid w:val="00B9572E"/>
    <w:rsid w:val="00BA0733"/>
    <w:rsid w:val="00BA0AF6"/>
    <w:rsid w:val="00BA30D0"/>
    <w:rsid w:val="00BA4993"/>
    <w:rsid w:val="00BB20F1"/>
    <w:rsid w:val="00BB375D"/>
    <w:rsid w:val="00BB4B53"/>
    <w:rsid w:val="00BB515F"/>
    <w:rsid w:val="00BC11C7"/>
    <w:rsid w:val="00BC2C0C"/>
    <w:rsid w:val="00BC758B"/>
    <w:rsid w:val="00BD1319"/>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11557"/>
    <w:rsid w:val="00D147D5"/>
    <w:rsid w:val="00D14DB7"/>
    <w:rsid w:val="00D15ED5"/>
    <w:rsid w:val="00D2464B"/>
    <w:rsid w:val="00D26AE1"/>
    <w:rsid w:val="00D31114"/>
    <w:rsid w:val="00D348F7"/>
    <w:rsid w:val="00D3640C"/>
    <w:rsid w:val="00D40BC3"/>
    <w:rsid w:val="00D434EC"/>
    <w:rsid w:val="00D44E9D"/>
    <w:rsid w:val="00D472A7"/>
    <w:rsid w:val="00D476B5"/>
    <w:rsid w:val="00D476DA"/>
    <w:rsid w:val="00D51853"/>
    <w:rsid w:val="00D717A5"/>
    <w:rsid w:val="00D74FFF"/>
    <w:rsid w:val="00D82D10"/>
    <w:rsid w:val="00D8494C"/>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45F5"/>
    <w:rsid w:val="00DC4BCD"/>
    <w:rsid w:val="00DD07A3"/>
    <w:rsid w:val="00DD178F"/>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72D9"/>
    <w:rsid w:val="00DF790C"/>
    <w:rsid w:val="00DF7D3D"/>
    <w:rsid w:val="00DF7EC8"/>
    <w:rsid w:val="00E007CF"/>
    <w:rsid w:val="00E00C15"/>
    <w:rsid w:val="00E028ED"/>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3254"/>
    <w:rsid w:val="00E75E8B"/>
    <w:rsid w:val="00E76A71"/>
    <w:rsid w:val="00E8155D"/>
    <w:rsid w:val="00E85D82"/>
    <w:rsid w:val="00E87AA7"/>
    <w:rsid w:val="00E97764"/>
    <w:rsid w:val="00EA0E04"/>
    <w:rsid w:val="00EA1DFB"/>
    <w:rsid w:val="00EA220D"/>
    <w:rsid w:val="00EA2F58"/>
    <w:rsid w:val="00EA31FB"/>
    <w:rsid w:val="00EA5D2C"/>
    <w:rsid w:val="00EA5D8E"/>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FA5"/>
    <w:rsid w:val="00FD7CE9"/>
    <w:rsid w:val="00FE1DE2"/>
    <w:rsid w:val="00FE57C8"/>
    <w:rsid w:val="00FF01D7"/>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02E81-3F8E-425B-B4DD-EC52C33B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5051</Words>
  <Characters>27785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2018-11-06T23:10:00Z</cp:lastPrinted>
  <dcterms:created xsi:type="dcterms:W3CDTF">2019-02-18T05:25:00Z</dcterms:created>
  <dcterms:modified xsi:type="dcterms:W3CDTF">2019-03-15T17:32:00Z</dcterms:modified>
</cp:coreProperties>
</file>